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BD" w:rsidRDefault="00F84124">
      <w:pPr>
        <w:pStyle w:val="BodyText"/>
        <w:spacing w:after="360" w:line="262" w:lineRule="auto"/>
        <w:jc w:val="both"/>
      </w:pPr>
      <w:proofErr w:type="gramStart"/>
      <w:r>
        <w:t xml:space="preserve">Pursuant to Article 77 of the Act on Scientific Activity and Higher Education (“Official Gazette” No. 123/03, 198/03, 105/04, 174/04, 2/07 - OUSRH (Decision of the Constitutional Court of the Republic of Croatia), 46/07, 45/09, 63/11, 94/13, 139/13, 101/14 -O, RUSRH, 60/15 -OUSHR and 131/17) and Article 117 of the Statute of the University of Rijeka (c.t. as of June 5,2018.), and pursuant </w:t>
      </w:r>
      <w:r w:rsidR="007C03F0">
        <w:t xml:space="preserve">to </w:t>
      </w:r>
      <w:r>
        <w:t>the decree brought by the Senate as of June 17, 2019 (CLASS:003-01/19-03/02, REG.NO.:2170-57-01-19-260)</w:t>
      </w:r>
      <w:proofErr w:type="gramEnd"/>
    </w:p>
    <w:p w:rsidR="000272BD" w:rsidRDefault="00F84124">
      <w:pPr>
        <w:jc w:val="center"/>
        <w:rPr>
          <w:sz w:val="2"/>
          <w:szCs w:val="2"/>
        </w:rPr>
      </w:pPr>
      <w:r>
        <w:rPr>
          <w:noProof/>
          <w:lang w:bidi="ar-SA"/>
        </w:rPr>
        <w:drawing>
          <wp:inline distT="0" distB="0" distL="0" distR="0">
            <wp:extent cx="323215" cy="3048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323215" cy="304800"/>
                    </a:xfrm>
                    <a:prstGeom prst="rect">
                      <a:avLst/>
                    </a:prstGeom>
                  </pic:spPr>
                </pic:pic>
              </a:graphicData>
            </a:graphic>
          </wp:inline>
        </w:drawing>
      </w:r>
    </w:p>
    <w:p w:rsidR="000272BD" w:rsidRDefault="000272BD">
      <w:pPr>
        <w:spacing w:after="39" w:line="1" w:lineRule="exact"/>
      </w:pPr>
    </w:p>
    <w:p w:rsidR="000272BD" w:rsidRDefault="00F84124">
      <w:pPr>
        <w:pStyle w:val="Heading10"/>
        <w:keepNext/>
        <w:keepLines/>
      </w:pPr>
      <w:bookmarkStart w:id="0" w:name="bookmark0"/>
      <w:bookmarkStart w:id="1" w:name="bookmark1"/>
      <w:bookmarkStart w:id="2" w:name="bookmark2"/>
      <w:r>
        <w:t>UNIVERSITY OF RIJEKA</w:t>
      </w:r>
      <w:bookmarkEnd w:id="0"/>
      <w:bookmarkEnd w:id="1"/>
      <w:bookmarkEnd w:id="2"/>
    </w:p>
    <w:p w:rsidR="000272BD" w:rsidRDefault="00F84124">
      <w:pPr>
        <w:pStyle w:val="BodyText"/>
        <w:spacing w:after="260"/>
        <w:jc w:val="center"/>
      </w:pPr>
      <w:proofErr w:type="gramStart"/>
      <w:r>
        <w:t>issues</w:t>
      </w:r>
      <w:proofErr w:type="gramEnd"/>
      <w:r>
        <w:t xml:space="preserve"> the following</w:t>
      </w:r>
    </w:p>
    <w:p w:rsidR="000272BD" w:rsidRDefault="00F84124">
      <w:pPr>
        <w:pStyle w:val="BodyText"/>
        <w:spacing w:after="0"/>
        <w:jc w:val="center"/>
      </w:pPr>
      <w:r>
        <w:rPr>
          <w:b/>
          <w:bCs/>
        </w:rPr>
        <w:t>CALL FOR APPLICATIONS</w:t>
      </w:r>
    </w:p>
    <w:p w:rsidR="000272BD" w:rsidRDefault="00F84124">
      <w:pPr>
        <w:pStyle w:val="BodyText"/>
        <w:spacing w:after="288"/>
        <w:jc w:val="center"/>
      </w:pPr>
      <w:proofErr w:type="gramStart"/>
      <w:r>
        <w:rPr>
          <w:b/>
          <w:bCs/>
        </w:rPr>
        <w:t>for</w:t>
      </w:r>
      <w:proofErr w:type="gramEnd"/>
      <w:r>
        <w:rPr>
          <w:b/>
          <w:bCs/>
        </w:rPr>
        <w:t xml:space="preserve"> enrollment into the first year of </w:t>
      </w:r>
      <w:r w:rsidR="003A4EEF">
        <w:rPr>
          <w:b/>
          <w:bCs/>
        </w:rPr>
        <w:t>under</w:t>
      </w:r>
      <w:r>
        <w:rPr>
          <w:b/>
          <w:bCs/>
        </w:rPr>
        <w:t xml:space="preserve">graduate university studies and specialist </w:t>
      </w:r>
      <w:r w:rsidR="003A4EEF">
        <w:rPr>
          <w:b/>
          <w:bCs/>
        </w:rPr>
        <w:t>under</w:t>
      </w:r>
      <w:r>
        <w:rPr>
          <w:b/>
          <w:bCs/>
        </w:rPr>
        <w:t>graduate</w:t>
      </w:r>
      <w:r>
        <w:rPr>
          <w:b/>
          <w:bCs/>
        </w:rPr>
        <w:br/>
        <w:t>vocational studies offered by the University of Rijeka and its constituents in the academic year</w:t>
      </w:r>
      <w:r>
        <w:rPr>
          <w:b/>
          <w:bCs/>
        </w:rPr>
        <w:br/>
        <w:t>20</w:t>
      </w:r>
      <w:r w:rsidR="003A4EEF">
        <w:rPr>
          <w:b/>
          <w:bCs/>
        </w:rPr>
        <w:t>20</w:t>
      </w:r>
      <w:r>
        <w:rPr>
          <w:b/>
          <w:bCs/>
        </w:rPr>
        <w:t>/202</w:t>
      </w:r>
      <w:r w:rsidR="003A4EEF">
        <w:rPr>
          <w:b/>
          <w:bCs/>
        </w:rPr>
        <w:t>1</w:t>
      </w:r>
    </w:p>
    <w:p w:rsidR="000272BD" w:rsidRDefault="00F84124">
      <w:pPr>
        <w:pStyle w:val="Heading20"/>
        <w:keepNext/>
        <w:keepLines/>
        <w:pBdr>
          <w:top w:val="single" w:sz="0" w:space="28" w:color="B7DDE8"/>
          <w:left w:val="single" w:sz="0" w:space="0" w:color="B7DDE8"/>
          <w:bottom w:val="single" w:sz="0" w:space="28" w:color="B7DDE8"/>
          <w:right w:val="single" w:sz="0" w:space="0" w:color="B7DDE8"/>
        </w:pBdr>
        <w:shd w:val="clear" w:color="auto" w:fill="B7DDE8"/>
        <w:spacing w:after="34"/>
      </w:pPr>
      <w:bookmarkStart w:id="3" w:name="bookmark3"/>
      <w:bookmarkStart w:id="4" w:name="bookmark4"/>
      <w:bookmarkStart w:id="5" w:name="bookmark5"/>
      <w:r>
        <w:t>GENERAL PART OF THE CALL</w:t>
      </w:r>
      <w:bookmarkEnd w:id="3"/>
      <w:bookmarkEnd w:id="4"/>
      <w:bookmarkEnd w:id="5"/>
    </w:p>
    <w:p w:rsidR="000272BD" w:rsidRDefault="00F84124">
      <w:pPr>
        <w:pStyle w:val="BodyText"/>
        <w:spacing w:after="500"/>
        <w:ind w:left="300"/>
        <w:jc w:val="both"/>
      </w:pPr>
      <w:r>
        <w:t xml:space="preserve">By applying, the applicants acknowledge and give their consent to the University of Rijeka and its constituents to process their personal data submitted within the application for the solely purpose of the relevant Call procedures (identification, application processing, verification of data, enrollment decision-making, feedback and publication of results). Furthermore, the applicants are acquainted that their personal data will be solely processed in accordance with the stated purpose and the positive regulations under the European </w:t>
      </w:r>
      <w:proofErr w:type="gramStart"/>
      <w:r>
        <w:t xml:space="preserve">and </w:t>
      </w:r>
      <w:r w:rsidR="007C03F0">
        <w:t xml:space="preserve"> </w:t>
      </w:r>
      <w:r>
        <w:t>national</w:t>
      </w:r>
      <w:proofErr w:type="gramEnd"/>
      <w:r>
        <w:t xml:space="preserve"> laws.</w:t>
      </w:r>
    </w:p>
    <w:p w:rsidR="000272BD" w:rsidRDefault="00F84124">
      <w:pPr>
        <w:pStyle w:val="BodyText"/>
        <w:pBdr>
          <w:top w:val="single" w:sz="4" w:space="0" w:color="auto"/>
          <w:left w:val="single" w:sz="4" w:space="0" w:color="auto"/>
          <w:bottom w:val="single" w:sz="4" w:space="0" w:color="auto"/>
          <w:right w:val="single" w:sz="4" w:space="0" w:color="auto"/>
        </w:pBdr>
        <w:spacing w:after="260"/>
        <w:ind w:firstLine="300"/>
      </w:pPr>
      <w:r>
        <w:rPr>
          <w:b/>
          <w:bCs/>
        </w:rPr>
        <w:t>NUMBER OF VACANCIES</w:t>
      </w:r>
    </w:p>
    <w:p w:rsidR="000272BD" w:rsidRDefault="00F84124">
      <w:pPr>
        <w:pStyle w:val="BodyText"/>
        <w:spacing w:after="0"/>
        <w:jc w:val="center"/>
      </w:pPr>
      <w:r>
        <w:rPr>
          <w:b/>
          <w:bCs/>
        </w:rPr>
        <w:t>DECREE</w:t>
      </w:r>
      <w:r>
        <w:rPr>
          <w:b/>
          <w:bCs/>
        </w:rPr>
        <w:br/>
        <w:t>on enrollment and the number of enrollment vacancies for enrollment into the first year of</w:t>
      </w:r>
      <w:r>
        <w:rPr>
          <w:b/>
          <w:bCs/>
        </w:rPr>
        <w:br/>
      </w:r>
      <w:r w:rsidR="003A4EEF">
        <w:rPr>
          <w:b/>
          <w:bCs/>
        </w:rPr>
        <w:t>under</w:t>
      </w:r>
      <w:r>
        <w:rPr>
          <w:b/>
          <w:bCs/>
        </w:rPr>
        <w:t xml:space="preserve">graduate university studies and specialist </w:t>
      </w:r>
      <w:r w:rsidR="003A4EEF">
        <w:rPr>
          <w:b/>
          <w:bCs/>
        </w:rPr>
        <w:t>under</w:t>
      </w:r>
      <w:r>
        <w:rPr>
          <w:b/>
          <w:bCs/>
        </w:rPr>
        <w:t>graduate vocational studies offered by the University of</w:t>
      </w:r>
      <w:r>
        <w:rPr>
          <w:b/>
          <w:bCs/>
        </w:rPr>
        <w:br/>
        <w:t>Rijeka and its constituents in the academic year 20</w:t>
      </w:r>
      <w:r w:rsidR="003A4EEF">
        <w:rPr>
          <w:b/>
          <w:bCs/>
        </w:rPr>
        <w:t>20</w:t>
      </w:r>
      <w:r>
        <w:rPr>
          <w:b/>
          <w:bCs/>
        </w:rPr>
        <w:t>/202</w:t>
      </w:r>
      <w:r w:rsidR="003A4EEF">
        <w:rPr>
          <w:b/>
          <w:bCs/>
        </w:rPr>
        <w:t>1</w:t>
      </w:r>
    </w:p>
    <w:p w:rsidR="000272BD" w:rsidRDefault="00F84124">
      <w:pPr>
        <w:pStyle w:val="BodyText"/>
        <w:spacing w:after="260"/>
        <w:jc w:val="center"/>
      </w:pPr>
      <w:r>
        <w:rPr>
          <w:b/>
          <w:bCs/>
        </w:rPr>
        <w:t>(</w:t>
      </w:r>
      <w:proofErr w:type="gramStart"/>
      <w:r>
        <w:rPr>
          <w:b/>
          <w:bCs/>
        </w:rPr>
        <w:t>consolidated</w:t>
      </w:r>
      <w:proofErr w:type="gramEnd"/>
      <w:r>
        <w:rPr>
          <w:b/>
          <w:bCs/>
        </w:rPr>
        <w:t xml:space="preserve"> text *)</w:t>
      </w:r>
    </w:p>
    <w:p w:rsidR="000272BD" w:rsidRDefault="00F84124">
      <w:pPr>
        <w:pStyle w:val="BodyText"/>
        <w:spacing w:after="40"/>
        <w:jc w:val="center"/>
      </w:pPr>
      <w:bookmarkStart w:id="6" w:name="bookmark6"/>
      <w:r>
        <w:t>I</w:t>
      </w:r>
      <w:bookmarkEnd w:id="6"/>
    </w:p>
    <w:p w:rsidR="000272BD" w:rsidRDefault="00F84124">
      <w:pPr>
        <w:pStyle w:val="BodyText"/>
        <w:spacing w:after="0"/>
        <w:jc w:val="both"/>
      </w:pPr>
      <w:r>
        <w:t xml:space="preserve">The number of enrollment vacancies for enrollment into the first year of </w:t>
      </w:r>
      <w:r w:rsidR="00AB6D45">
        <w:t>under</w:t>
      </w:r>
      <w:r>
        <w:t xml:space="preserve">graduate university studies and specialist </w:t>
      </w:r>
      <w:r w:rsidR="00AB6D45">
        <w:t>under</w:t>
      </w:r>
      <w:r>
        <w:t>graduate vocational studies offered by the University of Rijeka and its consti</w:t>
      </w:r>
      <w:r w:rsidR="00AB6D45">
        <w:t xml:space="preserve">tuents in the academic year </w:t>
      </w:r>
      <w:r>
        <w:t>2020</w:t>
      </w:r>
      <w:r w:rsidR="00AB6D45">
        <w:t>/2021</w:t>
      </w:r>
      <w:r>
        <w:t xml:space="preserve"> in terms of:</w:t>
      </w:r>
    </w:p>
    <w:p w:rsidR="000272BD" w:rsidRDefault="00F84124">
      <w:pPr>
        <w:pStyle w:val="BodyText"/>
        <w:numPr>
          <w:ilvl w:val="0"/>
          <w:numId w:val="1"/>
        </w:numPr>
        <w:tabs>
          <w:tab w:val="left" w:pos="227"/>
        </w:tabs>
        <w:spacing w:after="0"/>
        <w:jc w:val="both"/>
      </w:pPr>
      <w:bookmarkStart w:id="7" w:name="bookmark7"/>
      <w:bookmarkEnd w:id="7"/>
      <w:r>
        <w:t xml:space="preserve">the number of full-time students </w:t>
      </w:r>
      <w:r w:rsidR="00651CB8">
        <w:t>who</w:t>
      </w:r>
      <w:r>
        <w:t xml:space="preserve"> are Croatian citizens and the citizens of the EU Member States</w:t>
      </w:r>
    </w:p>
    <w:p w:rsidR="000272BD" w:rsidRDefault="00651CB8">
      <w:pPr>
        <w:pStyle w:val="BodyText"/>
        <w:numPr>
          <w:ilvl w:val="0"/>
          <w:numId w:val="1"/>
        </w:numPr>
        <w:tabs>
          <w:tab w:val="left" w:pos="212"/>
        </w:tabs>
        <w:spacing w:after="0"/>
        <w:jc w:val="both"/>
      </w:pPr>
      <w:bookmarkStart w:id="8" w:name="bookmark8"/>
      <w:bookmarkEnd w:id="8"/>
      <w:r>
        <w:t xml:space="preserve">the </w:t>
      </w:r>
      <w:r w:rsidR="00F84124">
        <w:t>number of full-time s</w:t>
      </w:r>
      <w:r>
        <w:t xml:space="preserve">tudents who are the </w:t>
      </w:r>
      <w:r w:rsidR="00F84124">
        <w:t>citizens of non-EU states (foreign nationals)</w:t>
      </w:r>
    </w:p>
    <w:p w:rsidR="000272BD" w:rsidRDefault="00651CB8">
      <w:pPr>
        <w:pStyle w:val="BodyText"/>
        <w:numPr>
          <w:ilvl w:val="0"/>
          <w:numId w:val="1"/>
        </w:numPr>
        <w:tabs>
          <w:tab w:val="left" w:pos="212"/>
        </w:tabs>
        <w:spacing w:after="260"/>
        <w:jc w:val="both"/>
      </w:pPr>
      <w:bookmarkStart w:id="9" w:name="bookmark9"/>
      <w:bookmarkEnd w:id="9"/>
      <w:r>
        <w:t xml:space="preserve">the </w:t>
      </w:r>
      <w:r w:rsidR="00F84124">
        <w:t>number of part-time students</w:t>
      </w:r>
    </w:p>
    <w:p w:rsidR="000272BD" w:rsidRDefault="00F84124">
      <w:pPr>
        <w:pStyle w:val="BodyText"/>
        <w:spacing w:after="260" w:line="233" w:lineRule="auto"/>
        <w:jc w:val="both"/>
      </w:pPr>
      <w:r>
        <w:t xml:space="preserve">The right to enroll into a program </w:t>
      </w:r>
      <w:proofErr w:type="gramStart"/>
      <w:r>
        <w:t>is granted</w:t>
      </w:r>
      <w:proofErr w:type="gramEnd"/>
      <w:r>
        <w:t xml:space="preserve"> according to the points achieved within the application process and in the order of the final ranking list, until </w:t>
      </w:r>
      <w:r w:rsidR="00651CB8">
        <w:t xml:space="preserve">the </w:t>
      </w:r>
      <w:r>
        <w:t>fulfillment of entry quotas.</w:t>
      </w:r>
    </w:p>
    <w:p w:rsidR="000272BD" w:rsidRDefault="00F84124">
      <w:pPr>
        <w:pStyle w:val="BodyText"/>
        <w:spacing w:after="0"/>
        <w:jc w:val="center"/>
      </w:pPr>
      <w:bookmarkStart w:id="10" w:name="bookmark10"/>
      <w:r>
        <w:t>I</w:t>
      </w:r>
      <w:bookmarkEnd w:id="10"/>
      <w:r>
        <w:t>I</w:t>
      </w:r>
    </w:p>
    <w:p w:rsidR="000272BD" w:rsidRDefault="00F84124">
      <w:pPr>
        <w:pStyle w:val="BodyText"/>
        <w:numPr>
          <w:ilvl w:val="0"/>
          <w:numId w:val="2"/>
        </w:numPr>
        <w:tabs>
          <w:tab w:val="left" w:pos="360"/>
        </w:tabs>
        <w:spacing w:after="0"/>
        <w:ind w:left="380" w:hanging="380"/>
      </w:pPr>
      <w:bookmarkStart w:id="11" w:name="bookmark11"/>
      <w:bookmarkEnd w:id="11"/>
      <w:r>
        <w:t>Based on the Recommendations of the Rectors Conference as of May 11, 2016 (CLASS: 602-04/16-05/3, REG.NO: 380-230/071-16-8), the right to direct enrollment to higher education institutions as full-time students outside the approved enrollment quotas, under the condition that they have passed the point threshold and have satisfied the necessary additional assessment of knowledge, competences and skills and are not already ranked within the approved quota, is given to:</w:t>
      </w:r>
    </w:p>
    <w:p w:rsidR="000272BD" w:rsidRDefault="00F84124">
      <w:pPr>
        <w:pStyle w:val="BodyText"/>
        <w:numPr>
          <w:ilvl w:val="0"/>
          <w:numId w:val="3"/>
        </w:numPr>
        <w:tabs>
          <w:tab w:val="left" w:pos="355"/>
        </w:tabs>
        <w:spacing w:after="0"/>
        <w:jc w:val="both"/>
      </w:pPr>
      <w:bookmarkStart w:id="12" w:name="bookmark12"/>
      <w:bookmarkEnd w:id="12"/>
      <w:r>
        <w:lastRenderedPageBreak/>
        <w:t>war veterans from the Croatian Homeland War</w:t>
      </w:r>
    </w:p>
    <w:p w:rsidR="000272BD" w:rsidRDefault="00F84124">
      <w:pPr>
        <w:pStyle w:val="BodyText"/>
        <w:numPr>
          <w:ilvl w:val="0"/>
          <w:numId w:val="3"/>
        </w:numPr>
        <w:tabs>
          <w:tab w:val="left" w:pos="355"/>
        </w:tabs>
        <w:spacing w:after="0"/>
        <w:jc w:val="both"/>
      </w:pPr>
      <w:bookmarkStart w:id="13" w:name="bookmark13"/>
      <w:bookmarkEnd w:id="13"/>
      <w:r>
        <w:t>Croatian wartime military disabled veterans (HRVI)</w:t>
      </w:r>
    </w:p>
    <w:p w:rsidR="000272BD" w:rsidRDefault="00F84124">
      <w:pPr>
        <w:pStyle w:val="BodyText"/>
        <w:numPr>
          <w:ilvl w:val="0"/>
          <w:numId w:val="3"/>
        </w:numPr>
        <w:tabs>
          <w:tab w:val="left" w:pos="355"/>
        </w:tabs>
        <w:spacing w:after="0"/>
        <w:jc w:val="both"/>
      </w:pPr>
      <w:bookmarkStart w:id="14" w:name="bookmark14"/>
      <w:bookmarkEnd w:id="14"/>
      <w:r>
        <w:t>children of killed, detained or missing Homeland War veterans</w:t>
      </w:r>
    </w:p>
    <w:p w:rsidR="000272BD" w:rsidRDefault="00F84124">
      <w:pPr>
        <w:pStyle w:val="BodyText"/>
        <w:numPr>
          <w:ilvl w:val="0"/>
          <w:numId w:val="3"/>
        </w:numPr>
        <w:tabs>
          <w:tab w:val="left" w:pos="355"/>
        </w:tabs>
        <w:spacing w:after="0"/>
        <w:jc w:val="both"/>
      </w:pPr>
      <w:bookmarkStart w:id="15" w:name="bookmark15"/>
      <w:bookmarkEnd w:id="15"/>
      <w:proofErr w:type="gramStart"/>
      <w:r>
        <w:t>children</w:t>
      </w:r>
      <w:proofErr w:type="gramEnd"/>
      <w:r>
        <w:t xml:space="preserve"> of the Croatian Homeland War defenders with a 1st degree disability (100%)</w:t>
      </w:r>
    </w:p>
    <w:p w:rsidR="000272BD" w:rsidRDefault="00F84124">
      <w:pPr>
        <w:pStyle w:val="BodyText"/>
        <w:numPr>
          <w:ilvl w:val="0"/>
          <w:numId w:val="3"/>
        </w:numPr>
        <w:tabs>
          <w:tab w:val="left" w:pos="355"/>
        </w:tabs>
        <w:spacing w:after="0"/>
        <w:ind w:left="460" w:hanging="460"/>
      </w:pPr>
      <w:bookmarkStart w:id="16" w:name="bookmark16"/>
      <w:bookmarkEnd w:id="16"/>
      <w:proofErr w:type="gramStart"/>
      <w:r>
        <w:t>children</w:t>
      </w:r>
      <w:proofErr w:type="gramEnd"/>
      <w:r>
        <w:t xml:space="preserve"> of the persons killed, dead or missing under the circumstances defined under Art. 6, 7 and 8 of the Law on the Protection of Military and Civilian War Invalids (Official Gazette No. 33/92, 77/92, 58/93, 2/94, 76/94, 82/01, 103/03, 148/13), hereinafter: the Law</w:t>
      </w:r>
    </w:p>
    <w:p w:rsidR="000272BD" w:rsidRDefault="00F84124">
      <w:pPr>
        <w:pStyle w:val="BodyText"/>
        <w:numPr>
          <w:ilvl w:val="0"/>
          <w:numId w:val="3"/>
        </w:numPr>
        <w:tabs>
          <w:tab w:val="left" w:pos="355"/>
        </w:tabs>
        <w:spacing w:after="0"/>
        <w:ind w:left="460" w:hanging="460"/>
      </w:pPr>
      <w:bookmarkStart w:id="17" w:name="bookmark17"/>
      <w:bookmarkEnd w:id="17"/>
      <w:proofErr w:type="gramStart"/>
      <w:r>
        <w:t>children</w:t>
      </w:r>
      <w:proofErr w:type="gramEnd"/>
      <w:r>
        <w:t xml:space="preserve"> of civilian war invalids whose disability occurred due to the circumstances defined under Art. 8. of the Law</w:t>
      </w:r>
    </w:p>
    <w:p w:rsidR="000272BD" w:rsidRDefault="00F84124">
      <w:pPr>
        <w:pStyle w:val="BodyText"/>
        <w:numPr>
          <w:ilvl w:val="0"/>
          <w:numId w:val="3"/>
        </w:numPr>
        <w:tabs>
          <w:tab w:val="left" w:pos="355"/>
        </w:tabs>
        <w:spacing w:after="260"/>
        <w:ind w:left="460" w:hanging="460"/>
      </w:pPr>
      <w:bookmarkStart w:id="18" w:name="bookmark18"/>
      <w:bookmarkEnd w:id="18"/>
      <w:proofErr w:type="gramStart"/>
      <w:r>
        <w:t>children</w:t>
      </w:r>
      <w:proofErr w:type="gramEnd"/>
      <w:r>
        <w:t xml:space="preserve"> of peace military and civilian invalids with a 1st degree disability (100%) whose disability occurred due to the circumstances defined under Art. 6, 7 and 8 of the Law.</w:t>
      </w:r>
    </w:p>
    <w:p w:rsidR="000272BD" w:rsidRDefault="00F84124">
      <w:pPr>
        <w:pStyle w:val="BodyText"/>
        <w:numPr>
          <w:ilvl w:val="0"/>
          <w:numId w:val="2"/>
        </w:numPr>
        <w:tabs>
          <w:tab w:val="left" w:pos="355"/>
        </w:tabs>
        <w:spacing w:after="0"/>
        <w:ind w:left="380" w:hanging="380"/>
        <w:jc w:val="both"/>
      </w:pPr>
      <w:bookmarkStart w:id="19" w:name="bookmark19"/>
      <w:bookmarkEnd w:id="19"/>
      <w:r>
        <w:t>The right to direct enrollment to higher education institutions as full-time students outside the approved enrollment quotas, under the condition that they have passed the point threshold and have satisfied the necessary additional assessment of knowledge, competences and skills and are not already ranked within the approved quota, is given to persons with an established 60% or higher disability.</w:t>
      </w:r>
    </w:p>
    <w:p w:rsidR="000272BD" w:rsidRDefault="00F84124">
      <w:pPr>
        <w:pStyle w:val="BodyText"/>
        <w:spacing w:after="260"/>
        <w:ind w:left="300" w:firstLine="80"/>
        <w:jc w:val="both"/>
      </w:pPr>
      <w:r>
        <w:t>If a higher education institution does not specify otherwise, the point threshold represents passing all the examinations that the higher education institution has set as a requirement for enrollment.</w:t>
      </w:r>
    </w:p>
    <w:p w:rsidR="000272BD" w:rsidRDefault="00F84124">
      <w:pPr>
        <w:pStyle w:val="BodyText"/>
        <w:numPr>
          <w:ilvl w:val="0"/>
          <w:numId w:val="2"/>
        </w:numPr>
        <w:tabs>
          <w:tab w:val="left" w:pos="355"/>
        </w:tabs>
        <w:spacing w:after="0"/>
        <w:ind w:left="380" w:hanging="380"/>
        <w:jc w:val="both"/>
      </w:pPr>
      <w:bookmarkStart w:id="20" w:name="bookmark20"/>
      <w:bookmarkEnd w:id="20"/>
      <w:r>
        <w:t>Applicants are required to enclose the appropriate certificates /decisions issued by the competent authorities proving their affiliation to one of the categories referred to in items (1) and (2) of this Paragraph.</w:t>
      </w:r>
    </w:p>
    <w:p w:rsidR="000272BD" w:rsidRDefault="00F84124">
      <w:pPr>
        <w:pStyle w:val="BodyText"/>
        <w:numPr>
          <w:ilvl w:val="0"/>
          <w:numId w:val="1"/>
        </w:numPr>
        <w:tabs>
          <w:tab w:val="left" w:pos="860"/>
        </w:tabs>
        <w:spacing w:after="0"/>
        <w:ind w:left="860" w:hanging="280"/>
        <w:jc w:val="both"/>
      </w:pPr>
      <w:bookmarkStart w:id="21" w:name="bookmark21"/>
      <w:bookmarkEnd w:id="21"/>
      <w:r>
        <w:t>War veterans from the Croatian Homeland War and Croatian wartime military disabled veterans shall provide proof of their status by enclosing a certificate issued after January 1, 2005 by the competent defense office in the Republic of Croatia (according to person's residence)</w:t>
      </w:r>
    </w:p>
    <w:p w:rsidR="000272BD" w:rsidRDefault="00F84124">
      <w:pPr>
        <w:pStyle w:val="BodyText"/>
        <w:numPr>
          <w:ilvl w:val="0"/>
          <w:numId w:val="1"/>
        </w:numPr>
        <w:tabs>
          <w:tab w:val="left" w:pos="860"/>
        </w:tabs>
        <w:spacing w:after="0"/>
        <w:ind w:left="860" w:hanging="280"/>
        <w:jc w:val="both"/>
      </w:pPr>
      <w:bookmarkStart w:id="22" w:name="bookmark22"/>
      <w:bookmarkEnd w:id="22"/>
      <w:r>
        <w:t>Children of killed, detained or missing war veterans still entered into the records of missing Homeland War veterans and the children of the Croatian Homeland War defenders with a 1st degree disability (100%) shall provide proof of their status by enclosing a certificate issued by a competent state administration office within their local(regional) self-administration unit.</w:t>
      </w:r>
    </w:p>
    <w:p w:rsidR="000272BD" w:rsidRDefault="00F84124">
      <w:pPr>
        <w:pStyle w:val="BodyText"/>
        <w:numPr>
          <w:ilvl w:val="0"/>
          <w:numId w:val="1"/>
        </w:numPr>
        <w:tabs>
          <w:tab w:val="left" w:pos="860"/>
        </w:tabs>
        <w:spacing w:after="260"/>
        <w:ind w:left="860" w:hanging="280"/>
        <w:jc w:val="both"/>
      </w:pPr>
      <w:bookmarkStart w:id="23" w:name="bookmark23"/>
      <w:bookmarkEnd w:id="23"/>
      <w:r>
        <w:t>Persons with an established 60% or higher disability shall provide proof of their status by enclosing a certificate issued by the Croatian Pension Insurance Institute</w:t>
      </w:r>
    </w:p>
    <w:p w:rsidR="000272BD" w:rsidRDefault="00F84124">
      <w:pPr>
        <w:pStyle w:val="BodyText"/>
        <w:numPr>
          <w:ilvl w:val="0"/>
          <w:numId w:val="2"/>
        </w:numPr>
        <w:tabs>
          <w:tab w:val="left" w:pos="355"/>
        </w:tabs>
        <w:spacing w:after="260"/>
        <w:ind w:left="380" w:hanging="380"/>
        <w:jc w:val="both"/>
        <w:rPr>
          <w:sz w:val="24"/>
          <w:szCs w:val="24"/>
        </w:rPr>
      </w:pPr>
      <w:bookmarkStart w:id="24" w:name="bookmark24"/>
      <w:bookmarkEnd w:id="24"/>
      <w:r>
        <w:t xml:space="preserve">Applicants defined under items (1) and (2) of </w:t>
      </w:r>
      <w:proofErr w:type="gramStart"/>
      <w:r>
        <w:t>this</w:t>
      </w:r>
      <w:proofErr w:type="gramEnd"/>
      <w:r>
        <w:t xml:space="preserve"> Paragraph that have passed the point threshold but are not ranked within enrollment quotas shall be enr</w:t>
      </w:r>
      <w:r w:rsidR="0068124F">
        <w:t>olled outside the approved quota</w:t>
      </w:r>
      <w:r>
        <w:t>s to capacity fulfillment. The Ministry of Science and Education shall cover the costs of studying of such enrolled candidates in their real amount</w:t>
      </w:r>
      <w:r>
        <w:rPr>
          <w:sz w:val="24"/>
          <w:szCs w:val="24"/>
        </w:rPr>
        <w:t>.</w:t>
      </w:r>
    </w:p>
    <w:p w:rsidR="000272BD" w:rsidRDefault="00F84124">
      <w:pPr>
        <w:pStyle w:val="BodyText"/>
        <w:spacing w:after="0"/>
        <w:jc w:val="center"/>
      </w:pPr>
      <w:r>
        <w:t>III</w:t>
      </w:r>
    </w:p>
    <w:p w:rsidR="000272BD" w:rsidRDefault="00F84124">
      <w:pPr>
        <w:pStyle w:val="BodyText"/>
        <w:spacing w:after="260"/>
        <w:jc w:val="both"/>
      </w:pPr>
      <w:r>
        <w:t>Foreign nationals (non-EU citizens) - the Republic of Croatia scholarship holders and persons not permanently residing in the Republic of Croatia have the right to enroll in a study program according to the conditions established by the Ministry of Science and Education, i.e. on the basis of interstate agreements and contracts.</w:t>
      </w:r>
    </w:p>
    <w:p w:rsidR="000272BD" w:rsidRDefault="00F84124">
      <w:pPr>
        <w:pStyle w:val="BodyText"/>
        <w:spacing w:after="0"/>
        <w:jc w:val="center"/>
      </w:pPr>
      <w:bookmarkStart w:id="25" w:name="bookmark25"/>
      <w:r>
        <w:t>I</w:t>
      </w:r>
      <w:bookmarkEnd w:id="25"/>
      <w:r>
        <w:t>V</w:t>
      </w:r>
    </w:p>
    <w:p w:rsidR="000272BD" w:rsidRDefault="00F84124">
      <w:pPr>
        <w:pStyle w:val="BodyText"/>
        <w:spacing w:after="120"/>
        <w:jc w:val="both"/>
      </w:pPr>
      <w:r>
        <w:t xml:space="preserve">In the event that enrollment vacancies for foreign nationals </w:t>
      </w:r>
      <w:proofErr w:type="gramStart"/>
      <w:r>
        <w:t>are not filled</w:t>
      </w:r>
      <w:proofErr w:type="gramEnd"/>
      <w:r>
        <w:t xml:space="preserve">, the respective faculty/university council may determine to fill these vacancies by Croatian/EU citizens. The respective council's decision </w:t>
      </w:r>
      <w:proofErr w:type="gramStart"/>
      <w:r>
        <w:t>shall be submitted to and acknowledged by the Senate</w:t>
      </w:r>
      <w:proofErr w:type="gramEnd"/>
      <w:r>
        <w:t>.</w:t>
      </w:r>
    </w:p>
    <w:p w:rsidR="000272BD" w:rsidRDefault="00F84124">
      <w:pPr>
        <w:pStyle w:val="BodyText"/>
        <w:spacing w:after="0"/>
        <w:jc w:val="center"/>
      </w:pPr>
      <w:bookmarkStart w:id="26" w:name="bookmark26"/>
      <w:r>
        <w:t>V</w:t>
      </w:r>
      <w:bookmarkEnd w:id="26"/>
    </w:p>
    <w:p w:rsidR="000272BD" w:rsidRDefault="00F84124">
      <w:pPr>
        <w:pStyle w:val="BodyText"/>
        <w:spacing w:after="260"/>
        <w:ind w:left="300"/>
        <w:jc w:val="both"/>
      </w:pPr>
      <w:r>
        <w:t xml:space="preserve">The number of enrollment vacancies for enrollment into the first year of </w:t>
      </w:r>
      <w:r w:rsidR="00AB6D45">
        <w:t>under</w:t>
      </w:r>
      <w:r>
        <w:t xml:space="preserve">graduate university studies and specialist </w:t>
      </w:r>
      <w:r w:rsidR="00AB6D45">
        <w:t>under</w:t>
      </w:r>
      <w:r>
        <w:t>graduate vocational studies offered by the University of Rijeka and its constit</w:t>
      </w:r>
      <w:r w:rsidR="00AB6D45">
        <w:t xml:space="preserve">uents in the academic year 2020/2021 </w:t>
      </w:r>
      <w:r>
        <w:t xml:space="preserve">is given in a </w:t>
      </w:r>
      <w:proofErr w:type="gramStart"/>
      <w:r>
        <w:t>table which</w:t>
      </w:r>
      <w:proofErr w:type="gramEnd"/>
      <w:r>
        <w:t xml:space="preserve"> is a constituent part of this decree.</w:t>
      </w:r>
    </w:p>
    <w:p w:rsidR="000272BD" w:rsidRDefault="00F84124">
      <w:pPr>
        <w:pStyle w:val="BodyText"/>
        <w:spacing w:after="0"/>
        <w:jc w:val="center"/>
      </w:pPr>
      <w:bookmarkStart w:id="27" w:name="bookmark27"/>
      <w:r>
        <w:t>V</w:t>
      </w:r>
      <w:bookmarkEnd w:id="27"/>
      <w:r>
        <w:t>I</w:t>
      </w:r>
    </w:p>
    <w:p w:rsidR="000272BD" w:rsidRDefault="00F84124">
      <w:pPr>
        <w:pStyle w:val="BodyText"/>
        <w:spacing w:after="260"/>
        <w:ind w:left="300"/>
        <w:jc w:val="both"/>
      </w:pPr>
      <w:r>
        <w:t xml:space="preserve">This decree comes into force on the date of its passing and is a constituent part of the Call for applications for enrollment into the first year of </w:t>
      </w:r>
      <w:r w:rsidR="00AB6D45">
        <w:t>under</w:t>
      </w:r>
      <w:r>
        <w:t xml:space="preserve">graduate university studies and specialist </w:t>
      </w:r>
      <w:r w:rsidR="00AB6D45">
        <w:t>under</w:t>
      </w:r>
      <w:r>
        <w:t>graduate vocational studies offered by the University of Rijeka and its constit</w:t>
      </w:r>
      <w:r w:rsidR="00AB6D45">
        <w:t>uents in the academic year 2020/2021.</w:t>
      </w:r>
    </w:p>
    <w:p w:rsidR="000272BD" w:rsidRDefault="00F84124">
      <w:pPr>
        <w:pStyle w:val="BodyText"/>
        <w:spacing w:after="0"/>
        <w:ind w:left="4980"/>
      </w:pPr>
      <w:r>
        <w:t>MADAM RECTOR</w:t>
      </w:r>
    </w:p>
    <w:p w:rsidR="000272BD" w:rsidRDefault="00F84124">
      <w:pPr>
        <w:pStyle w:val="BodyText"/>
        <w:spacing w:after="680"/>
        <w:ind w:left="4260"/>
      </w:pPr>
      <w:proofErr w:type="gramStart"/>
      <w:r>
        <w:t xml:space="preserve">Full Professor </w:t>
      </w:r>
      <w:proofErr w:type="spellStart"/>
      <w:r>
        <w:t>Snježana</w:t>
      </w:r>
      <w:proofErr w:type="spellEnd"/>
      <w:r>
        <w:t xml:space="preserve"> </w:t>
      </w:r>
      <w:proofErr w:type="spellStart"/>
      <w:r>
        <w:t>Prijić-Samaržija</w:t>
      </w:r>
      <w:proofErr w:type="spellEnd"/>
      <w:r>
        <w:t xml:space="preserve">, Ph.D. </w:t>
      </w:r>
      <w:proofErr w:type="spellStart"/>
      <w:r>
        <w:t>m.p</w:t>
      </w:r>
      <w:proofErr w:type="spellEnd"/>
      <w:r>
        <w:t>.</w:t>
      </w:r>
      <w:proofErr w:type="gramEnd"/>
    </w:p>
    <w:p w:rsidR="000272BD" w:rsidRDefault="00F84124">
      <w:pPr>
        <w:pStyle w:val="BodyText"/>
        <w:spacing w:after="260"/>
        <w:jc w:val="center"/>
      </w:pPr>
      <w:r>
        <w:rPr>
          <w:b/>
          <w:bCs/>
        </w:rPr>
        <w:lastRenderedPageBreak/>
        <w:t xml:space="preserve">Number of enrollment vacancies for enrollment into the first year of </w:t>
      </w:r>
      <w:r w:rsidR="00AB6D45">
        <w:rPr>
          <w:b/>
          <w:bCs/>
        </w:rPr>
        <w:t>under</w:t>
      </w:r>
      <w:r>
        <w:rPr>
          <w:b/>
          <w:bCs/>
        </w:rPr>
        <w:t>graduate university and</w:t>
      </w:r>
      <w:r>
        <w:rPr>
          <w:b/>
          <w:bCs/>
        </w:rPr>
        <w:br/>
        <w:t xml:space="preserve">specialist </w:t>
      </w:r>
      <w:r w:rsidR="00AB6D45">
        <w:rPr>
          <w:b/>
          <w:bCs/>
        </w:rPr>
        <w:t>under</w:t>
      </w:r>
      <w:r>
        <w:rPr>
          <w:b/>
          <w:bCs/>
        </w:rPr>
        <w:t>graduate vocational studies offered by the University of Rijeka and its constit</w:t>
      </w:r>
      <w:r w:rsidR="00AB6D45">
        <w:rPr>
          <w:b/>
          <w:bCs/>
        </w:rPr>
        <w:t>uents in the</w:t>
      </w:r>
      <w:r w:rsidR="00AB6D45">
        <w:rPr>
          <w:b/>
          <w:bCs/>
        </w:rPr>
        <w:br/>
        <w:t xml:space="preserve">academic year </w:t>
      </w:r>
      <w:r>
        <w:rPr>
          <w:b/>
          <w:bCs/>
        </w:rPr>
        <w:t>2020</w:t>
      </w:r>
      <w:r w:rsidR="00AB6D45">
        <w:rPr>
          <w:b/>
          <w:bCs/>
        </w:rPr>
        <w:t>/2021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1608"/>
        <w:gridCol w:w="1670"/>
        <w:gridCol w:w="1498"/>
        <w:gridCol w:w="1306"/>
      </w:tblGrid>
      <w:tr w:rsidR="000272BD">
        <w:trPr>
          <w:trHeight w:hRule="exact" w:val="504"/>
          <w:jc w:val="center"/>
        </w:trPr>
        <w:tc>
          <w:tcPr>
            <w:tcW w:w="2650" w:type="dxa"/>
            <w:tcBorders>
              <w:top w:val="single" w:sz="4" w:space="0" w:color="auto"/>
              <w:left w:val="single" w:sz="4" w:space="0" w:color="auto"/>
            </w:tcBorders>
            <w:shd w:val="clear" w:color="auto" w:fill="FFFFFF"/>
          </w:tcPr>
          <w:p w:rsidR="000272BD" w:rsidRDefault="00F84124">
            <w:pPr>
              <w:pStyle w:val="Other0"/>
              <w:spacing w:after="0"/>
            </w:pPr>
            <w:r>
              <w:rPr>
                <w:b/>
                <w:bCs/>
              </w:rPr>
              <w:t>UNIVERSITY OF RIJEKA</w:t>
            </w:r>
          </w:p>
        </w:tc>
        <w:tc>
          <w:tcPr>
            <w:tcW w:w="6082" w:type="dxa"/>
            <w:gridSpan w:val="4"/>
            <w:tcBorders>
              <w:top w:val="single" w:sz="4" w:space="0" w:color="auto"/>
              <w:left w:val="single" w:sz="4" w:space="0" w:color="auto"/>
              <w:right w:val="single" w:sz="4" w:space="0" w:color="auto"/>
            </w:tcBorders>
            <w:shd w:val="clear" w:color="auto" w:fill="FFFFFF"/>
            <w:vAlign w:val="bottom"/>
          </w:tcPr>
          <w:p w:rsidR="000272BD" w:rsidRDefault="00F84124">
            <w:pPr>
              <w:pStyle w:val="Other0"/>
              <w:spacing w:after="0"/>
              <w:ind w:firstLine="140"/>
            </w:pPr>
            <w:r>
              <w:rPr>
                <w:b/>
                <w:bCs/>
              </w:rPr>
              <w:t>NUM</w:t>
            </w:r>
            <w:r w:rsidR="00C63C33">
              <w:rPr>
                <w:b/>
                <w:bCs/>
              </w:rPr>
              <w:t>BER OF ENROLLMENT VACANCIES 2020/2021</w:t>
            </w:r>
          </w:p>
        </w:tc>
      </w:tr>
      <w:tr w:rsidR="000272BD">
        <w:trPr>
          <w:trHeight w:hRule="exact" w:val="744"/>
          <w:jc w:val="center"/>
        </w:trPr>
        <w:tc>
          <w:tcPr>
            <w:tcW w:w="2650" w:type="dxa"/>
            <w:tcBorders>
              <w:top w:val="single" w:sz="4" w:space="0" w:color="auto"/>
              <w:left w:val="single" w:sz="4" w:space="0" w:color="auto"/>
            </w:tcBorders>
            <w:shd w:val="clear" w:color="auto" w:fill="FFFFFF"/>
          </w:tcPr>
          <w:p w:rsidR="000272BD" w:rsidRDefault="00F84124">
            <w:pPr>
              <w:pStyle w:val="Other0"/>
              <w:spacing w:after="0"/>
            </w:pPr>
            <w:r>
              <w:rPr>
                <w:b/>
                <w:bCs/>
              </w:rPr>
              <w:t>CONSTITUENT/STUDY PROGRAM/TRACK</w:t>
            </w:r>
          </w:p>
        </w:tc>
        <w:tc>
          <w:tcPr>
            <w:tcW w:w="1608" w:type="dxa"/>
            <w:tcBorders>
              <w:top w:val="single" w:sz="4" w:space="0" w:color="auto"/>
              <w:left w:val="single" w:sz="4" w:space="0" w:color="auto"/>
            </w:tcBorders>
            <w:shd w:val="clear" w:color="auto" w:fill="FFFFFF"/>
            <w:vAlign w:val="bottom"/>
          </w:tcPr>
          <w:p w:rsidR="000272BD" w:rsidRDefault="00F84124">
            <w:pPr>
              <w:pStyle w:val="Other0"/>
              <w:spacing w:after="0"/>
            </w:pPr>
            <w:r>
              <w:rPr>
                <w:b/>
                <w:bCs/>
              </w:rPr>
              <w:t>FULL-TIME STUDENTS (CRO/EU)</w:t>
            </w:r>
          </w:p>
        </w:tc>
        <w:tc>
          <w:tcPr>
            <w:tcW w:w="1670" w:type="dxa"/>
            <w:tcBorders>
              <w:top w:val="single" w:sz="4" w:space="0" w:color="auto"/>
              <w:left w:val="single" w:sz="4" w:space="0" w:color="auto"/>
            </w:tcBorders>
            <w:shd w:val="clear" w:color="auto" w:fill="FFFFFF"/>
            <w:vAlign w:val="bottom"/>
          </w:tcPr>
          <w:p w:rsidR="000272BD" w:rsidRDefault="00F84124">
            <w:pPr>
              <w:pStyle w:val="Other0"/>
              <w:spacing w:after="0"/>
            </w:pPr>
            <w:r>
              <w:rPr>
                <w:b/>
                <w:bCs/>
              </w:rPr>
              <w:t>FULL-TIME STUDENTS (OUTSIDE EU)</w:t>
            </w:r>
          </w:p>
        </w:tc>
        <w:tc>
          <w:tcPr>
            <w:tcW w:w="1498" w:type="dxa"/>
            <w:tcBorders>
              <w:top w:val="single" w:sz="4" w:space="0" w:color="auto"/>
              <w:left w:val="single" w:sz="4" w:space="0" w:color="auto"/>
            </w:tcBorders>
            <w:shd w:val="clear" w:color="auto" w:fill="FFFFFF"/>
          </w:tcPr>
          <w:p w:rsidR="000272BD" w:rsidRDefault="00F84124">
            <w:pPr>
              <w:pStyle w:val="Other0"/>
              <w:spacing w:after="0"/>
            </w:pPr>
            <w:r>
              <w:rPr>
                <w:b/>
                <w:bCs/>
              </w:rPr>
              <w:t>PART- TIME STUDENTS</w:t>
            </w:r>
          </w:p>
        </w:tc>
        <w:tc>
          <w:tcPr>
            <w:tcW w:w="1306" w:type="dxa"/>
            <w:tcBorders>
              <w:top w:val="single" w:sz="4" w:space="0" w:color="auto"/>
              <w:left w:val="single" w:sz="4" w:space="0" w:color="auto"/>
              <w:right w:val="single" w:sz="4" w:space="0" w:color="auto"/>
            </w:tcBorders>
            <w:shd w:val="clear" w:color="auto" w:fill="FFFFFF"/>
          </w:tcPr>
          <w:p w:rsidR="000272BD" w:rsidRDefault="00F84124">
            <w:pPr>
              <w:pStyle w:val="Other0"/>
              <w:spacing w:after="0"/>
            </w:pPr>
            <w:r>
              <w:rPr>
                <w:b/>
                <w:bCs/>
              </w:rPr>
              <w:t>TOTAL</w:t>
            </w:r>
          </w:p>
        </w:tc>
      </w:tr>
      <w:tr w:rsidR="00C63C33">
        <w:trPr>
          <w:trHeight w:hRule="exact" w:val="494"/>
          <w:jc w:val="center"/>
        </w:trPr>
        <w:tc>
          <w:tcPr>
            <w:tcW w:w="2650" w:type="dxa"/>
            <w:tcBorders>
              <w:top w:val="single" w:sz="4" w:space="0" w:color="auto"/>
              <w:left w:val="single" w:sz="4" w:space="0" w:color="auto"/>
            </w:tcBorders>
            <w:shd w:val="clear" w:color="auto" w:fill="FFFFFF"/>
            <w:vAlign w:val="center"/>
          </w:tcPr>
          <w:p w:rsidR="00C63C33" w:rsidRDefault="00C63C33" w:rsidP="00C63C33">
            <w:pPr>
              <w:pStyle w:val="Other0"/>
              <w:spacing w:after="0"/>
            </w:pPr>
            <w:r>
              <w:t>FACULTY OF ECONOMICS AND BUSINESS</w:t>
            </w:r>
          </w:p>
        </w:tc>
        <w:tc>
          <w:tcPr>
            <w:tcW w:w="1608" w:type="dxa"/>
            <w:tcBorders>
              <w:top w:val="single" w:sz="4" w:space="0" w:color="auto"/>
              <w:left w:val="single" w:sz="4" w:space="0" w:color="auto"/>
            </w:tcBorders>
            <w:shd w:val="clear" w:color="auto" w:fill="FFFFFF"/>
          </w:tcPr>
          <w:p w:rsidR="00C63C33" w:rsidRPr="00C63C33" w:rsidRDefault="00C63C33" w:rsidP="00C63C33">
            <w:pPr>
              <w:pStyle w:val="Default"/>
              <w:jc w:val="center"/>
              <w:rPr>
                <w:sz w:val="20"/>
                <w:szCs w:val="20"/>
              </w:rPr>
            </w:pPr>
            <w:r w:rsidRPr="00C63C33">
              <w:rPr>
                <w:bCs/>
                <w:sz w:val="20"/>
                <w:szCs w:val="20"/>
              </w:rPr>
              <w:t>345</w:t>
            </w:r>
          </w:p>
        </w:tc>
        <w:tc>
          <w:tcPr>
            <w:tcW w:w="1670" w:type="dxa"/>
            <w:tcBorders>
              <w:top w:val="single" w:sz="4" w:space="0" w:color="auto"/>
              <w:left w:val="single" w:sz="4" w:space="0" w:color="auto"/>
            </w:tcBorders>
            <w:shd w:val="clear" w:color="auto" w:fill="FFFFFF"/>
          </w:tcPr>
          <w:p w:rsidR="00C63C33" w:rsidRPr="00C63C33" w:rsidRDefault="00C63C33" w:rsidP="00C63C33">
            <w:pPr>
              <w:pStyle w:val="Default"/>
              <w:jc w:val="center"/>
              <w:rPr>
                <w:sz w:val="20"/>
                <w:szCs w:val="20"/>
              </w:rPr>
            </w:pPr>
            <w:r w:rsidRPr="00C63C33">
              <w:rPr>
                <w:bCs/>
                <w:sz w:val="20"/>
                <w:szCs w:val="20"/>
              </w:rPr>
              <w:t>5</w:t>
            </w:r>
          </w:p>
        </w:tc>
        <w:tc>
          <w:tcPr>
            <w:tcW w:w="1498" w:type="dxa"/>
            <w:tcBorders>
              <w:top w:val="single" w:sz="4" w:space="0" w:color="auto"/>
              <w:left w:val="single" w:sz="4" w:space="0" w:color="auto"/>
            </w:tcBorders>
            <w:shd w:val="clear" w:color="auto" w:fill="FFFFFF"/>
          </w:tcPr>
          <w:p w:rsidR="00C63C33" w:rsidRPr="00C63C33" w:rsidRDefault="00C63C33" w:rsidP="00C63C33">
            <w:pPr>
              <w:pStyle w:val="Default"/>
              <w:jc w:val="center"/>
              <w:rPr>
                <w:sz w:val="20"/>
                <w:szCs w:val="20"/>
              </w:rPr>
            </w:pPr>
            <w:r w:rsidRPr="00C63C33">
              <w:rPr>
                <w:bCs/>
                <w:sz w:val="20"/>
                <w:szCs w:val="20"/>
              </w:rPr>
              <w:t>225</w:t>
            </w:r>
          </w:p>
        </w:tc>
        <w:tc>
          <w:tcPr>
            <w:tcW w:w="1306" w:type="dxa"/>
            <w:tcBorders>
              <w:top w:val="single" w:sz="4" w:space="0" w:color="auto"/>
              <w:left w:val="single" w:sz="4" w:space="0" w:color="auto"/>
              <w:right w:val="single" w:sz="4" w:space="0" w:color="auto"/>
            </w:tcBorders>
            <w:shd w:val="clear" w:color="auto" w:fill="FFFFFF"/>
          </w:tcPr>
          <w:p w:rsidR="00C63C33" w:rsidRPr="00C63C33" w:rsidRDefault="00C63C33" w:rsidP="00C63C33">
            <w:pPr>
              <w:pStyle w:val="Default"/>
              <w:jc w:val="center"/>
              <w:rPr>
                <w:sz w:val="20"/>
                <w:szCs w:val="20"/>
              </w:rPr>
            </w:pPr>
            <w:r w:rsidRPr="00C63C33">
              <w:rPr>
                <w:bCs/>
                <w:sz w:val="20"/>
                <w:szCs w:val="20"/>
              </w:rPr>
              <w:t>575</w:t>
            </w:r>
          </w:p>
        </w:tc>
      </w:tr>
      <w:tr w:rsidR="000272BD">
        <w:trPr>
          <w:trHeight w:hRule="exact" w:val="499"/>
          <w:jc w:val="center"/>
        </w:trPr>
        <w:tc>
          <w:tcPr>
            <w:tcW w:w="2650" w:type="dxa"/>
            <w:tcBorders>
              <w:top w:val="single" w:sz="4" w:space="0" w:color="auto"/>
              <w:left w:val="single" w:sz="4" w:space="0" w:color="auto"/>
            </w:tcBorders>
            <w:shd w:val="clear" w:color="auto" w:fill="FFFFFF"/>
            <w:vAlign w:val="center"/>
          </w:tcPr>
          <w:p w:rsidR="000272BD" w:rsidRDefault="00AB6D45">
            <w:pPr>
              <w:pStyle w:val="Other0"/>
              <w:spacing w:after="0"/>
            </w:pPr>
            <w:r>
              <w:t>Underg</w:t>
            </w:r>
            <w:r w:rsidR="00F84124">
              <w:t>raduate University Studies in Economics</w:t>
            </w:r>
          </w:p>
        </w:tc>
        <w:tc>
          <w:tcPr>
            <w:tcW w:w="1608" w:type="dxa"/>
            <w:tcBorders>
              <w:top w:val="single" w:sz="4" w:space="0" w:color="auto"/>
              <w:left w:val="single" w:sz="4" w:space="0" w:color="auto"/>
            </w:tcBorders>
            <w:shd w:val="clear" w:color="auto" w:fill="FFFFFF"/>
          </w:tcPr>
          <w:p w:rsidR="000272BD" w:rsidRDefault="000272BD">
            <w:pPr>
              <w:rPr>
                <w:sz w:val="10"/>
                <w:szCs w:val="10"/>
              </w:rPr>
            </w:pPr>
          </w:p>
        </w:tc>
        <w:tc>
          <w:tcPr>
            <w:tcW w:w="1670" w:type="dxa"/>
            <w:tcBorders>
              <w:top w:val="single" w:sz="4" w:space="0" w:color="auto"/>
              <w:left w:val="single" w:sz="4" w:space="0" w:color="auto"/>
            </w:tcBorders>
            <w:shd w:val="clear" w:color="auto" w:fill="FFFFFF"/>
          </w:tcPr>
          <w:p w:rsidR="000272BD" w:rsidRDefault="000272BD">
            <w:pPr>
              <w:rPr>
                <w:sz w:val="10"/>
                <w:szCs w:val="10"/>
              </w:rPr>
            </w:pPr>
          </w:p>
        </w:tc>
        <w:tc>
          <w:tcPr>
            <w:tcW w:w="1498" w:type="dxa"/>
            <w:tcBorders>
              <w:top w:val="single" w:sz="4" w:space="0" w:color="auto"/>
              <w:left w:val="single" w:sz="4" w:space="0" w:color="auto"/>
            </w:tcBorders>
            <w:shd w:val="clear" w:color="auto" w:fill="FFFFFF"/>
          </w:tcPr>
          <w:p w:rsidR="000272BD" w:rsidRDefault="000272BD">
            <w:pPr>
              <w:rPr>
                <w:sz w:val="10"/>
                <w:szCs w:val="10"/>
              </w:rPr>
            </w:pPr>
          </w:p>
        </w:tc>
        <w:tc>
          <w:tcPr>
            <w:tcW w:w="1306" w:type="dxa"/>
            <w:tcBorders>
              <w:top w:val="single" w:sz="4" w:space="0" w:color="auto"/>
              <w:left w:val="single" w:sz="4" w:space="0" w:color="auto"/>
              <w:right w:val="single" w:sz="4" w:space="0" w:color="auto"/>
            </w:tcBorders>
            <w:shd w:val="clear" w:color="auto" w:fill="FFFFFF"/>
          </w:tcPr>
          <w:p w:rsidR="000272BD" w:rsidRDefault="000272BD">
            <w:pPr>
              <w:rPr>
                <w:sz w:val="10"/>
                <w:szCs w:val="10"/>
              </w:rPr>
            </w:pPr>
          </w:p>
        </w:tc>
      </w:tr>
      <w:tr w:rsidR="00C63C33">
        <w:trPr>
          <w:trHeight w:hRule="exact" w:val="499"/>
          <w:jc w:val="center"/>
        </w:trPr>
        <w:tc>
          <w:tcPr>
            <w:tcW w:w="2650" w:type="dxa"/>
            <w:tcBorders>
              <w:top w:val="single" w:sz="4" w:space="0" w:color="auto"/>
              <w:left w:val="single" w:sz="4" w:space="0" w:color="auto"/>
            </w:tcBorders>
            <w:shd w:val="clear" w:color="auto" w:fill="FFFFFF"/>
            <w:vAlign w:val="center"/>
          </w:tcPr>
          <w:p w:rsidR="00C63C33" w:rsidRDefault="00C63C33" w:rsidP="00EE2D4E">
            <w:pPr>
              <w:pStyle w:val="Other0"/>
              <w:spacing w:after="0"/>
            </w:pPr>
            <w:r>
              <w:t>Track: Economics</w:t>
            </w:r>
          </w:p>
        </w:tc>
        <w:tc>
          <w:tcPr>
            <w:tcW w:w="1608" w:type="dxa"/>
            <w:tcBorders>
              <w:top w:val="single" w:sz="4" w:space="0" w:color="auto"/>
              <w:left w:val="single" w:sz="4" w:space="0" w:color="auto"/>
            </w:tcBorders>
            <w:shd w:val="clear" w:color="auto" w:fill="FFFFFF"/>
          </w:tcPr>
          <w:p w:rsidR="00C63C33" w:rsidRDefault="00C63C33" w:rsidP="00C63C33">
            <w:pPr>
              <w:pStyle w:val="Default"/>
              <w:jc w:val="center"/>
              <w:rPr>
                <w:sz w:val="20"/>
                <w:szCs w:val="20"/>
              </w:rPr>
            </w:pPr>
            <w:r>
              <w:rPr>
                <w:sz w:val="20"/>
                <w:szCs w:val="20"/>
              </w:rPr>
              <w:t>40</w:t>
            </w:r>
          </w:p>
        </w:tc>
        <w:tc>
          <w:tcPr>
            <w:tcW w:w="1670" w:type="dxa"/>
            <w:tcBorders>
              <w:top w:val="single" w:sz="4" w:space="0" w:color="auto"/>
              <w:left w:val="single" w:sz="4" w:space="0" w:color="auto"/>
            </w:tcBorders>
            <w:shd w:val="clear" w:color="auto" w:fill="FFFFFF"/>
          </w:tcPr>
          <w:p w:rsidR="00C63C33" w:rsidRDefault="00C63C33" w:rsidP="00C63C33">
            <w:pPr>
              <w:pStyle w:val="Default"/>
              <w:jc w:val="center"/>
              <w:rPr>
                <w:sz w:val="20"/>
                <w:szCs w:val="20"/>
              </w:rPr>
            </w:pPr>
            <w:r>
              <w:rPr>
                <w:sz w:val="20"/>
                <w:szCs w:val="20"/>
              </w:rPr>
              <w:t>0</w:t>
            </w:r>
          </w:p>
        </w:tc>
        <w:tc>
          <w:tcPr>
            <w:tcW w:w="1498" w:type="dxa"/>
            <w:tcBorders>
              <w:top w:val="single" w:sz="4" w:space="0" w:color="auto"/>
              <w:left w:val="single" w:sz="4" w:space="0" w:color="auto"/>
            </w:tcBorders>
            <w:shd w:val="clear" w:color="auto" w:fill="FFFFFF"/>
          </w:tcPr>
          <w:p w:rsidR="00C63C33" w:rsidRDefault="00C63C33" w:rsidP="00C63C33">
            <w:pPr>
              <w:pStyle w:val="Default"/>
              <w:jc w:val="center"/>
              <w:rPr>
                <w:sz w:val="20"/>
                <w:szCs w:val="20"/>
              </w:rPr>
            </w:pPr>
            <w:r>
              <w:rPr>
                <w:sz w:val="20"/>
                <w:szCs w:val="20"/>
              </w:rPr>
              <w:t>25</w:t>
            </w:r>
          </w:p>
        </w:tc>
        <w:tc>
          <w:tcPr>
            <w:tcW w:w="1306" w:type="dxa"/>
            <w:tcBorders>
              <w:top w:val="single" w:sz="4" w:space="0" w:color="auto"/>
              <w:left w:val="single" w:sz="4" w:space="0" w:color="auto"/>
              <w:right w:val="single" w:sz="4" w:space="0" w:color="auto"/>
            </w:tcBorders>
            <w:shd w:val="clear" w:color="auto" w:fill="FFFFFF"/>
          </w:tcPr>
          <w:p w:rsidR="00C63C33" w:rsidRDefault="00C63C33" w:rsidP="00C63C33">
            <w:pPr>
              <w:pStyle w:val="Default"/>
              <w:jc w:val="center"/>
              <w:rPr>
                <w:sz w:val="20"/>
                <w:szCs w:val="20"/>
              </w:rPr>
            </w:pPr>
            <w:r>
              <w:rPr>
                <w:b/>
                <w:bCs/>
                <w:sz w:val="20"/>
                <w:szCs w:val="20"/>
              </w:rPr>
              <w:t>65</w:t>
            </w:r>
          </w:p>
        </w:tc>
      </w:tr>
      <w:tr w:rsidR="009B135A">
        <w:trPr>
          <w:trHeight w:hRule="exact" w:val="499"/>
          <w:jc w:val="center"/>
        </w:trPr>
        <w:tc>
          <w:tcPr>
            <w:tcW w:w="2650" w:type="dxa"/>
            <w:tcBorders>
              <w:top w:val="single" w:sz="4" w:space="0" w:color="auto"/>
              <w:left w:val="single" w:sz="4" w:space="0" w:color="auto"/>
            </w:tcBorders>
            <w:shd w:val="clear" w:color="auto" w:fill="FFFFFF"/>
            <w:vAlign w:val="center"/>
          </w:tcPr>
          <w:p w:rsidR="009B135A" w:rsidRDefault="009B135A" w:rsidP="009B135A">
            <w:pPr>
              <w:pStyle w:val="Other0"/>
              <w:spacing w:after="0"/>
            </w:pPr>
            <w:r>
              <w:t>Undergraduate University Studies in Business Economics</w:t>
            </w:r>
          </w:p>
        </w:tc>
        <w:tc>
          <w:tcPr>
            <w:tcW w:w="160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p>
        </w:tc>
        <w:tc>
          <w:tcPr>
            <w:tcW w:w="1670"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p>
        </w:tc>
        <w:tc>
          <w:tcPr>
            <w:tcW w:w="149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p>
        </w:tc>
        <w:tc>
          <w:tcPr>
            <w:tcW w:w="1306" w:type="dxa"/>
            <w:tcBorders>
              <w:top w:val="single" w:sz="4" w:space="0" w:color="auto"/>
              <w:left w:val="single" w:sz="4" w:space="0" w:color="auto"/>
              <w:right w:val="single" w:sz="4" w:space="0" w:color="auto"/>
            </w:tcBorders>
            <w:shd w:val="clear" w:color="auto" w:fill="FFFFFF"/>
          </w:tcPr>
          <w:p w:rsidR="009B135A" w:rsidRDefault="009B135A" w:rsidP="009B135A">
            <w:pPr>
              <w:pStyle w:val="Default"/>
              <w:jc w:val="center"/>
              <w:rPr>
                <w:sz w:val="20"/>
                <w:szCs w:val="20"/>
              </w:rPr>
            </w:pPr>
          </w:p>
        </w:tc>
      </w:tr>
      <w:tr w:rsidR="00C61B66" w:rsidTr="00F8046B">
        <w:trPr>
          <w:trHeight w:hRule="exact" w:val="254"/>
          <w:jc w:val="center"/>
        </w:trPr>
        <w:tc>
          <w:tcPr>
            <w:tcW w:w="2650" w:type="dxa"/>
            <w:tcBorders>
              <w:top w:val="single" w:sz="4" w:space="0" w:color="auto"/>
              <w:left w:val="single" w:sz="4" w:space="0" w:color="auto"/>
            </w:tcBorders>
            <w:shd w:val="clear" w:color="auto" w:fill="FFFFFF"/>
            <w:vAlign w:val="center"/>
          </w:tcPr>
          <w:p w:rsidR="00C61B66" w:rsidRDefault="00C61B66" w:rsidP="00C61B66">
            <w:pPr>
              <w:pStyle w:val="Other0"/>
              <w:spacing w:after="0"/>
            </w:pPr>
            <w:r>
              <w:t>Track: Management</w:t>
            </w:r>
          </w:p>
        </w:tc>
        <w:tc>
          <w:tcPr>
            <w:tcW w:w="1608" w:type="dxa"/>
            <w:tcBorders>
              <w:top w:val="single" w:sz="4" w:space="0" w:color="auto"/>
              <w:left w:val="single" w:sz="4" w:space="0" w:color="auto"/>
            </w:tcBorders>
            <w:shd w:val="clear" w:color="auto" w:fill="FFFFFF"/>
          </w:tcPr>
          <w:p w:rsidR="00C61B66" w:rsidRDefault="00C61B66" w:rsidP="00C61B66">
            <w:pPr>
              <w:pStyle w:val="Default"/>
              <w:jc w:val="center"/>
              <w:rPr>
                <w:sz w:val="20"/>
                <w:szCs w:val="20"/>
              </w:rPr>
            </w:pPr>
            <w:r>
              <w:rPr>
                <w:sz w:val="20"/>
                <w:szCs w:val="20"/>
              </w:rPr>
              <w:t>50</w:t>
            </w:r>
          </w:p>
        </w:tc>
        <w:tc>
          <w:tcPr>
            <w:tcW w:w="1670" w:type="dxa"/>
            <w:tcBorders>
              <w:top w:val="single" w:sz="4" w:space="0" w:color="auto"/>
              <w:left w:val="single" w:sz="4" w:space="0" w:color="auto"/>
            </w:tcBorders>
            <w:shd w:val="clear" w:color="auto" w:fill="FFFFFF"/>
          </w:tcPr>
          <w:p w:rsidR="00C61B66" w:rsidRDefault="00C61B66" w:rsidP="00C61B66">
            <w:pPr>
              <w:pStyle w:val="Default"/>
              <w:jc w:val="center"/>
              <w:rPr>
                <w:sz w:val="20"/>
                <w:szCs w:val="20"/>
              </w:rPr>
            </w:pPr>
            <w:r>
              <w:rPr>
                <w:sz w:val="20"/>
                <w:szCs w:val="20"/>
              </w:rPr>
              <w:t>0</w:t>
            </w:r>
          </w:p>
        </w:tc>
        <w:tc>
          <w:tcPr>
            <w:tcW w:w="1498" w:type="dxa"/>
            <w:tcBorders>
              <w:top w:val="single" w:sz="4" w:space="0" w:color="auto"/>
              <w:left w:val="single" w:sz="4" w:space="0" w:color="auto"/>
            </w:tcBorders>
            <w:shd w:val="clear" w:color="auto" w:fill="FFFFFF"/>
          </w:tcPr>
          <w:p w:rsidR="00C61B66" w:rsidRDefault="00C61B66" w:rsidP="00C61B66">
            <w:pPr>
              <w:pStyle w:val="Default"/>
              <w:jc w:val="center"/>
              <w:rPr>
                <w:sz w:val="20"/>
                <w:szCs w:val="20"/>
              </w:rPr>
            </w:pPr>
            <w:r>
              <w:rPr>
                <w:sz w:val="20"/>
                <w:szCs w:val="20"/>
              </w:rPr>
              <w:t>25</w:t>
            </w:r>
          </w:p>
        </w:tc>
        <w:tc>
          <w:tcPr>
            <w:tcW w:w="1306" w:type="dxa"/>
            <w:tcBorders>
              <w:top w:val="single" w:sz="4" w:space="0" w:color="auto"/>
              <w:left w:val="single" w:sz="4" w:space="0" w:color="auto"/>
              <w:right w:val="single" w:sz="4" w:space="0" w:color="auto"/>
            </w:tcBorders>
            <w:shd w:val="clear" w:color="auto" w:fill="FFFFFF"/>
          </w:tcPr>
          <w:p w:rsidR="00C61B66" w:rsidRDefault="00C61B66" w:rsidP="00C61B66">
            <w:pPr>
              <w:pStyle w:val="Default"/>
              <w:jc w:val="center"/>
              <w:rPr>
                <w:sz w:val="20"/>
                <w:szCs w:val="20"/>
              </w:rPr>
            </w:pPr>
            <w:r>
              <w:rPr>
                <w:b/>
                <w:bCs/>
                <w:sz w:val="20"/>
                <w:szCs w:val="20"/>
              </w:rPr>
              <w:t>75</w:t>
            </w:r>
          </w:p>
        </w:tc>
      </w:tr>
      <w:tr w:rsidR="009B135A" w:rsidTr="008921C8">
        <w:trPr>
          <w:trHeight w:hRule="exact" w:val="254"/>
          <w:jc w:val="center"/>
        </w:trPr>
        <w:tc>
          <w:tcPr>
            <w:tcW w:w="2650" w:type="dxa"/>
            <w:tcBorders>
              <w:top w:val="single" w:sz="4" w:space="0" w:color="auto"/>
              <w:left w:val="single" w:sz="4" w:space="0" w:color="auto"/>
            </w:tcBorders>
            <w:shd w:val="clear" w:color="auto" w:fill="FFFFFF"/>
            <w:vAlign w:val="center"/>
          </w:tcPr>
          <w:p w:rsidR="009B135A" w:rsidRDefault="009B135A" w:rsidP="009B135A">
            <w:pPr>
              <w:pStyle w:val="Other0"/>
              <w:spacing w:after="0"/>
            </w:pPr>
            <w:r>
              <w:t>Track: Finance and Accounting</w:t>
            </w:r>
          </w:p>
        </w:tc>
        <w:tc>
          <w:tcPr>
            <w:tcW w:w="160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50</w:t>
            </w:r>
          </w:p>
        </w:tc>
        <w:tc>
          <w:tcPr>
            <w:tcW w:w="1670"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0</w:t>
            </w:r>
          </w:p>
        </w:tc>
        <w:tc>
          <w:tcPr>
            <w:tcW w:w="149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25</w:t>
            </w:r>
          </w:p>
        </w:tc>
        <w:tc>
          <w:tcPr>
            <w:tcW w:w="1306" w:type="dxa"/>
            <w:tcBorders>
              <w:top w:val="single" w:sz="4" w:space="0" w:color="auto"/>
              <w:left w:val="single" w:sz="4" w:space="0" w:color="auto"/>
              <w:right w:val="single" w:sz="4" w:space="0" w:color="auto"/>
            </w:tcBorders>
            <w:shd w:val="clear" w:color="auto" w:fill="FFFFFF"/>
          </w:tcPr>
          <w:p w:rsidR="009B135A" w:rsidRDefault="009B135A" w:rsidP="009B135A">
            <w:pPr>
              <w:pStyle w:val="Default"/>
              <w:jc w:val="center"/>
              <w:rPr>
                <w:sz w:val="20"/>
                <w:szCs w:val="20"/>
              </w:rPr>
            </w:pPr>
            <w:r>
              <w:rPr>
                <w:b/>
                <w:bCs/>
                <w:sz w:val="20"/>
                <w:szCs w:val="20"/>
              </w:rPr>
              <w:t>75</w:t>
            </w:r>
          </w:p>
        </w:tc>
      </w:tr>
      <w:tr w:rsidR="009B135A" w:rsidTr="00D007F1">
        <w:trPr>
          <w:trHeight w:hRule="exact" w:val="254"/>
          <w:jc w:val="center"/>
        </w:trPr>
        <w:tc>
          <w:tcPr>
            <w:tcW w:w="2650" w:type="dxa"/>
            <w:tcBorders>
              <w:top w:val="single" w:sz="4" w:space="0" w:color="auto"/>
              <w:left w:val="single" w:sz="4" w:space="0" w:color="auto"/>
            </w:tcBorders>
            <w:shd w:val="clear" w:color="auto" w:fill="FFFFFF"/>
            <w:vAlign w:val="center"/>
          </w:tcPr>
          <w:p w:rsidR="009B135A" w:rsidRDefault="009B135A" w:rsidP="009B135A">
            <w:pPr>
              <w:pStyle w:val="Other0"/>
              <w:spacing w:after="0"/>
            </w:pPr>
            <w:r>
              <w:t>Track: Marketing</w:t>
            </w:r>
          </w:p>
        </w:tc>
        <w:tc>
          <w:tcPr>
            <w:tcW w:w="160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50</w:t>
            </w:r>
          </w:p>
        </w:tc>
        <w:tc>
          <w:tcPr>
            <w:tcW w:w="1670"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0</w:t>
            </w:r>
          </w:p>
        </w:tc>
        <w:tc>
          <w:tcPr>
            <w:tcW w:w="149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25</w:t>
            </w:r>
          </w:p>
        </w:tc>
        <w:tc>
          <w:tcPr>
            <w:tcW w:w="1306" w:type="dxa"/>
            <w:tcBorders>
              <w:top w:val="single" w:sz="4" w:space="0" w:color="auto"/>
              <w:left w:val="single" w:sz="4" w:space="0" w:color="auto"/>
              <w:right w:val="single" w:sz="4" w:space="0" w:color="auto"/>
            </w:tcBorders>
            <w:shd w:val="clear" w:color="auto" w:fill="FFFFFF"/>
          </w:tcPr>
          <w:p w:rsidR="009B135A" w:rsidRDefault="009B135A" w:rsidP="009B135A">
            <w:pPr>
              <w:pStyle w:val="Default"/>
              <w:jc w:val="center"/>
              <w:rPr>
                <w:sz w:val="20"/>
                <w:szCs w:val="20"/>
              </w:rPr>
            </w:pPr>
            <w:r>
              <w:rPr>
                <w:b/>
                <w:bCs/>
                <w:sz w:val="20"/>
                <w:szCs w:val="20"/>
              </w:rPr>
              <w:t>75</w:t>
            </w:r>
          </w:p>
        </w:tc>
      </w:tr>
      <w:tr w:rsidR="009B135A" w:rsidTr="00CF0568">
        <w:trPr>
          <w:trHeight w:hRule="exact" w:val="254"/>
          <w:jc w:val="center"/>
        </w:trPr>
        <w:tc>
          <w:tcPr>
            <w:tcW w:w="2650" w:type="dxa"/>
            <w:tcBorders>
              <w:top w:val="single" w:sz="4" w:space="0" w:color="auto"/>
              <w:left w:val="single" w:sz="4" w:space="0" w:color="auto"/>
            </w:tcBorders>
            <w:shd w:val="clear" w:color="auto" w:fill="FFFFFF"/>
            <w:vAlign w:val="center"/>
          </w:tcPr>
          <w:p w:rsidR="009B135A" w:rsidRDefault="009B135A" w:rsidP="009B135A">
            <w:pPr>
              <w:pStyle w:val="Other0"/>
              <w:spacing w:after="0"/>
            </w:pPr>
            <w:r>
              <w:t>Track: International Business</w:t>
            </w:r>
          </w:p>
        </w:tc>
        <w:tc>
          <w:tcPr>
            <w:tcW w:w="160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50</w:t>
            </w:r>
          </w:p>
        </w:tc>
        <w:tc>
          <w:tcPr>
            <w:tcW w:w="1670"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0</w:t>
            </w:r>
          </w:p>
        </w:tc>
        <w:tc>
          <w:tcPr>
            <w:tcW w:w="149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0</w:t>
            </w:r>
          </w:p>
        </w:tc>
        <w:tc>
          <w:tcPr>
            <w:tcW w:w="1306" w:type="dxa"/>
            <w:tcBorders>
              <w:top w:val="single" w:sz="4" w:space="0" w:color="auto"/>
              <w:left w:val="single" w:sz="4" w:space="0" w:color="auto"/>
              <w:right w:val="single" w:sz="4" w:space="0" w:color="auto"/>
            </w:tcBorders>
            <w:shd w:val="clear" w:color="auto" w:fill="FFFFFF"/>
          </w:tcPr>
          <w:p w:rsidR="009B135A" w:rsidRDefault="009B135A" w:rsidP="009B135A">
            <w:pPr>
              <w:pStyle w:val="Default"/>
              <w:jc w:val="center"/>
              <w:rPr>
                <w:sz w:val="20"/>
                <w:szCs w:val="20"/>
              </w:rPr>
            </w:pPr>
            <w:r>
              <w:rPr>
                <w:b/>
                <w:bCs/>
                <w:sz w:val="20"/>
                <w:szCs w:val="20"/>
              </w:rPr>
              <w:t>50</w:t>
            </w:r>
          </w:p>
        </w:tc>
      </w:tr>
      <w:tr w:rsidR="009B135A">
        <w:trPr>
          <w:trHeight w:hRule="exact" w:val="494"/>
          <w:jc w:val="center"/>
        </w:trPr>
        <w:tc>
          <w:tcPr>
            <w:tcW w:w="2650" w:type="dxa"/>
            <w:tcBorders>
              <w:top w:val="single" w:sz="4" w:space="0" w:color="auto"/>
              <w:left w:val="single" w:sz="4" w:space="0" w:color="auto"/>
            </w:tcBorders>
            <w:shd w:val="clear" w:color="auto" w:fill="FFFFFF"/>
            <w:vAlign w:val="bottom"/>
          </w:tcPr>
          <w:p w:rsidR="009B135A" w:rsidRDefault="009B135A" w:rsidP="009B135A">
            <w:pPr>
              <w:pStyle w:val="Other0"/>
              <w:spacing w:after="0"/>
            </w:pPr>
            <w:r>
              <w:t>Track: International Business (taught in English)</w:t>
            </w:r>
          </w:p>
        </w:tc>
        <w:tc>
          <w:tcPr>
            <w:tcW w:w="160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55</w:t>
            </w:r>
          </w:p>
        </w:tc>
        <w:tc>
          <w:tcPr>
            <w:tcW w:w="1670"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5</w:t>
            </w:r>
          </w:p>
        </w:tc>
        <w:tc>
          <w:tcPr>
            <w:tcW w:w="1498" w:type="dxa"/>
            <w:tcBorders>
              <w:top w:val="single" w:sz="4" w:space="0" w:color="auto"/>
              <w:left w:val="single" w:sz="4" w:space="0" w:color="auto"/>
            </w:tcBorders>
            <w:shd w:val="clear" w:color="auto" w:fill="FFFFFF"/>
          </w:tcPr>
          <w:p w:rsidR="009B135A" w:rsidRDefault="009B135A" w:rsidP="009B135A">
            <w:pPr>
              <w:pStyle w:val="Default"/>
              <w:jc w:val="center"/>
              <w:rPr>
                <w:sz w:val="20"/>
                <w:szCs w:val="20"/>
              </w:rPr>
            </w:pPr>
            <w:r>
              <w:rPr>
                <w:sz w:val="20"/>
                <w:szCs w:val="20"/>
              </w:rPr>
              <w:t>0</w:t>
            </w:r>
          </w:p>
        </w:tc>
        <w:tc>
          <w:tcPr>
            <w:tcW w:w="1306" w:type="dxa"/>
            <w:tcBorders>
              <w:top w:val="single" w:sz="4" w:space="0" w:color="auto"/>
              <w:left w:val="single" w:sz="4" w:space="0" w:color="auto"/>
              <w:right w:val="single" w:sz="4" w:space="0" w:color="auto"/>
            </w:tcBorders>
            <w:shd w:val="clear" w:color="auto" w:fill="FFFFFF"/>
          </w:tcPr>
          <w:p w:rsidR="009B135A" w:rsidRDefault="009B135A" w:rsidP="009B135A">
            <w:pPr>
              <w:pStyle w:val="Default"/>
              <w:jc w:val="center"/>
              <w:rPr>
                <w:sz w:val="20"/>
                <w:szCs w:val="20"/>
              </w:rPr>
            </w:pPr>
            <w:r>
              <w:rPr>
                <w:b/>
                <w:bCs/>
                <w:sz w:val="20"/>
                <w:szCs w:val="20"/>
              </w:rPr>
              <w:t>60</w:t>
            </w:r>
          </w:p>
        </w:tc>
      </w:tr>
      <w:tr w:rsidR="00C63C33" w:rsidTr="00851B97">
        <w:trPr>
          <w:trHeight w:hRule="exact" w:val="254"/>
          <w:jc w:val="center"/>
        </w:trPr>
        <w:tc>
          <w:tcPr>
            <w:tcW w:w="2650" w:type="dxa"/>
            <w:tcBorders>
              <w:top w:val="single" w:sz="4" w:space="0" w:color="auto"/>
              <w:left w:val="single" w:sz="4" w:space="0" w:color="auto"/>
            </w:tcBorders>
            <w:shd w:val="clear" w:color="auto" w:fill="FFFFFF"/>
            <w:vAlign w:val="center"/>
          </w:tcPr>
          <w:p w:rsidR="00C63C33" w:rsidRDefault="00C63C33" w:rsidP="00C63C33">
            <w:pPr>
              <w:pStyle w:val="Other0"/>
              <w:spacing w:after="0"/>
            </w:pPr>
            <w:r>
              <w:t>Track: Entrepreneurship</w:t>
            </w:r>
          </w:p>
        </w:tc>
        <w:tc>
          <w:tcPr>
            <w:tcW w:w="1608" w:type="dxa"/>
            <w:tcBorders>
              <w:top w:val="single" w:sz="4" w:space="0" w:color="auto"/>
              <w:left w:val="single" w:sz="4" w:space="0" w:color="auto"/>
            </w:tcBorders>
            <w:shd w:val="clear" w:color="auto" w:fill="FFFFFF"/>
          </w:tcPr>
          <w:p w:rsidR="00C63C33" w:rsidRDefault="00C63C33" w:rsidP="00C63C33">
            <w:pPr>
              <w:pStyle w:val="Default"/>
              <w:jc w:val="center"/>
              <w:rPr>
                <w:sz w:val="20"/>
                <w:szCs w:val="20"/>
              </w:rPr>
            </w:pPr>
            <w:r>
              <w:rPr>
                <w:sz w:val="20"/>
                <w:szCs w:val="20"/>
              </w:rPr>
              <w:t>50</w:t>
            </w:r>
          </w:p>
        </w:tc>
        <w:tc>
          <w:tcPr>
            <w:tcW w:w="1670" w:type="dxa"/>
            <w:tcBorders>
              <w:top w:val="single" w:sz="4" w:space="0" w:color="auto"/>
              <w:left w:val="single" w:sz="4" w:space="0" w:color="auto"/>
            </w:tcBorders>
            <w:shd w:val="clear" w:color="auto" w:fill="FFFFFF"/>
          </w:tcPr>
          <w:p w:rsidR="00C63C33" w:rsidRDefault="00C63C33" w:rsidP="00C63C33">
            <w:pPr>
              <w:pStyle w:val="Default"/>
              <w:jc w:val="center"/>
              <w:rPr>
                <w:sz w:val="20"/>
                <w:szCs w:val="20"/>
              </w:rPr>
            </w:pPr>
            <w:r>
              <w:rPr>
                <w:sz w:val="20"/>
                <w:szCs w:val="20"/>
              </w:rPr>
              <w:t>0</w:t>
            </w:r>
          </w:p>
        </w:tc>
        <w:tc>
          <w:tcPr>
            <w:tcW w:w="1498" w:type="dxa"/>
            <w:tcBorders>
              <w:top w:val="single" w:sz="4" w:space="0" w:color="auto"/>
              <w:left w:val="single" w:sz="4" w:space="0" w:color="auto"/>
            </w:tcBorders>
            <w:shd w:val="clear" w:color="auto" w:fill="FFFFFF"/>
          </w:tcPr>
          <w:p w:rsidR="00C63C33" w:rsidRDefault="00C63C33" w:rsidP="00C63C33">
            <w:pPr>
              <w:pStyle w:val="Default"/>
              <w:jc w:val="center"/>
              <w:rPr>
                <w:sz w:val="20"/>
                <w:szCs w:val="20"/>
              </w:rPr>
            </w:pPr>
            <w:r>
              <w:rPr>
                <w:sz w:val="20"/>
                <w:szCs w:val="20"/>
              </w:rPr>
              <w:t>40</w:t>
            </w:r>
          </w:p>
        </w:tc>
        <w:tc>
          <w:tcPr>
            <w:tcW w:w="1306" w:type="dxa"/>
            <w:tcBorders>
              <w:top w:val="single" w:sz="4" w:space="0" w:color="auto"/>
              <w:left w:val="single" w:sz="4" w:space="0" w:color="auto"/>
              <w:right w:val="single" w:sz="4" w:space="0" w:color="auto"/>
            </w:tcBorders>
            <w:shd w:val="clear" w:color="auto" w:fill="FFFFFF"/>
          </w:tcPr>
          <w:p w:rsidR="00C63C33" w:rsidRDefault="00C63C33" w:rsidP="00C63C33">
            <w:pPr>
              <w:pStyle w:val="Default"/>
              <w:jc w:val="center"/>
              <w:rPr>
                <w:sz w:val="20"/>
                <w:szCs w:val="20"/>
              </w:rPr>
            </w:pPr>
            <w:r>
              <w:rPr>
                <w:b/>
                <w:bCs/>
                <w:sz w:val="20"/>
                <w:szCs w:val="20"/>
              </w:rPr>
              <w:t>90</w:t>
            </w:r>
          </w:p>
        </w:tc>
      </w:tr>
      <w:tr w:rsidR="009B135A">
        <w:trPr>
          <w:trHeight w:hRule="exact" w:val="504"/>
          <w:jc w:val="center"/>
        </w:trPr>
        <w:tc>
          <w:tcPr>
            <w:tcW w:w="2650" w:type="dxa"/>
            <w:tcBorders>
              <w:top w:val="single" w:sz="4" w:space="0" w:color="auto"/>
              <w:left w:val="single" w:sz="4" w:space="0" w:color="auto"/>
              <w:bottom w:val="single" w:sz="4" w:space="0" w:color="auto"/>
            </w:tcBorders>
            <w:shd w:val="clear" w:color="auto" w:fill="FFFFFF"/>
            <w:vAlign w:val="bottom"/>
          </w:tcPr>
          <w:p w:rsidR="009B135A" w:rsidRDefault="009B135A" w:rsidP="009B135A">
            <w:pPr>
              <w:pStyle w:val="Other0"/>
              <w:spacing w:after="0"/>
            </w:pPr>
            <w:r>
              <w:t>Track: Entrepreneurship (online studies)</w:t>
            </w:r>
          </w:p>
        </w:tc>
        <w:tc>
          <w:tcPr>
            <w:tcW w:w="1608" w:type="dxa"/>
            <w:tcBorders>
              <w:top w:val="single" w:sz="4" w:space="0" w:color="auto"/>
              <w:left w:val="single" w:sz="4" w:space="0" w:color="auto"/>
              <w:bottom w:val="single" w:sz="4" w:space="0" w:color="auto"/>
            </w:tcBorders>
            <w:shd w:val="clear" w:color="auto" w:fill="FFFFFF"/>
          </w:tcPr>
          <w:p w:rsidR="009B135A" w:rsidRDefault="009B135A" w:rsidP="009B135A">
            <w:pPr>
              <w:pStyle w:val="Default"/>
              <w:jc w:val="center"/>
              <w:rPr>
                <w:sz w:val="20"/>
                <w:szCs w:val="20"/>
              </w:rPr>
            </w:pPr>
            <w:r>
              <w:rPr>
                <w:sz w:val="20"/>
                <w:szCs w:val="20"/>
              </w:rPr>
              <w:t>0</w:t>
            </w:r>
          </w:p>
        </w:tc>
        <w:tc>
          <w:tcPr>
            <w:tcW w:w="1670" w:type="dxa"/>
            <w:tcBorders>
              <w:top w:val="single" w:sz="4" w:space="0" w:color="auto"/>
              <w:left w:val="single" w:sz="4" w:space="0" w:color="auto"/>
              <w:bottom w:val="single" w:sz="4" w:space="0" w:color="auto"/>
            </w:tcBorders>
            <w:shd w:val="clear" w:color="auto" w:fill="FFFFFF"/>
          </w:tcPr>
          <w:p w:rsidR="009B135A" w:rsidRDefault="009B135A" w:rsidP="009B135A">
            <w:pPr>
              <w:pStyle w:val="Default"/>
              <w:jc w:val="center"/>
              <w:rPr>
                <w:sz w:val="20"/>
                <w:szCs w:val="20"/>
              </w:rPr>
            </w:pPr>
            <w:r>
              <w:rPr>
                <w:sz w:val="20"/>
                <w:szCs w:val="20"/>
              </w:rPr>
              <w:t>0</w:t>
            </w:r>
          </w:p>
        </w:tc>
        <w:tc>
          <w:tcPr>
            <w:tcW w:w="1498" w:type="dxa"/>
            <w:tcBorders>
              <w:top w:val="single" w:sz="4" w:space="0" w:color="auto"/>
              <w:left w:val="single" w:sz="4" w:space="0" w:color="auto"/>
              <w:bottom w:val="single" w:sz="4" w:space="0" w:color="auto"/>
            </w:tcBorders>
            <w:shd w:val="clear" w:color="auto" w:fill="FFFFFF"/>
          </w:tcPr>
          <w:p w:rsidR="009B135A" w:rsidRDefault="00EE2D4E" w:rsidP="009B135A">
            <w:pPr>
              <w:pStyle w:val="Default"/>
              <w:jc w:val="center"/>
              <w:rPr>
                <w:sz w:val="20"/>
                <w:szCs w:val="20"/>
              </w:rPr>
            </w:pPr>
            <w:r>
              <w:rPr>
                <w:sz w:val="20"/>
                <w:szCs w:val="20"/>
              </w:rPr>
              <w:t>50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B135A" w:rsidRDefault="00EE2D4E" w:rsidP="009B135A">
            <w:pPr>
              <w:pStyle w:val="Default"/>
              <w:jc w:val="center"/>
              <w:rPr>
                <w:sz w:val="20"/>
                <w:szCs w:val="20"/>
              </w:rPr>
            </w:pPr>
            <w:r>
              <w:rPr>
                <w:b/>
                <w:bCs/>
                <w:sz w:val="20"/>
                <w:szCs w:val="20"/>
              </w:rPr>
              <w:t>50</w:t>
            </w:r>
          </w:p>
        </w:tc>
      </w:tr>
    </w:tbl>
    <w:p w:rsidR="000272BD" w:rsidRDefault="000272BD">
      <w:pPr>
        <w:spacing w:after="259" w:line="1" w:lineRule="exact"/>
      </w:pPr>
    </w:p>
    <w:p w:rsidR="000272BD" w:rsidRDefault="00F84124">
      <w:pPr>
        <w:pStyle w:val="BodyText"/>
        <w:spacing w:after="260" w:line="262" w:lineRule="auto"/>
      </w:pPr>
      <w:r>
        <w:rPr>
          <w:b/>
          <w:bCs/>
          <w:u w:val="single"/>
        </w:rPr>
        <w:t>Application to higher institutions</w:t>
      </w:r>
    </w:p>
    <w:p w:rsidR="000272BD" w:rsidRDefault="00F84124">
      <w:pPr>
        <w:pStyle w:val="BodyText"/>
        <w:spacing w:after="120" w:line="257" w:lineRule="auto"/>
        <w:jc w:val="both"/>
      </w:pPr>
      <w:r>
        <w:rPr>
          <w:b/>
          <w:bCs/>
        </w:rPr>
        <w:t xml:space="preserve">All information on applications for classification procedures, required documentation, the classification procedures/ entry examinations themselves and enrollment into individual study programs offered at the University of Rijeka </w:t>
      </w:r>
      <w:proofErr w:type="gramStart"/>
      <w:r>
        <w:rPr>
          <w:b/>
          <w:bCs/>
        </w:rPr>
        <w:t>can be found</w:t>
      </w:r>
      <w:proofErr w:type="gramEnd"/>
      <w:r>
        <w:rPr>
          <w:b/>
          <w:bCs/>
        </w:rPr>
        <w:t xml:space="preserve"> under the section INDIVIDUAL FACULTY CALLS FOR ENROLLMENT within this Call and at the respective faculties' websites.</w:t>
      </w:r>
    </w:p>
    <w:p w:rsidR="000272BD" w:rsidRDefault="00F84124">
      <w:pPr>
        <w:pStyle w:val="BodyText"/>
        <w:spacing w:after="0" w:line="262" w:lineRule="auto"/>
        <w:ind w:left="1300"/>
      </w:pPr>
      <w:r>
        <w:t>Note:</w:t>
      </w:r>
    </w:p>
    <w:p w:rsidR="000272BD" w:rsidRDefault="00F84124">
      <w:pPr>
        <w:pStyle w:val="BodyText"/>
        <w:spacing w:after="260" w:line="262" w:lineRule="auto"/>
        <w:jc w:val="both"/>
      </w:pPr>
      <w:r>
        <w:t xml:space="preserve">All candidates shall have the right to file a complaint on the correctness of the classification process. The complaint </w:t>
      </w:r>
      <w:proofErr w:type="gramStart"/>
      <w:r>
        <w:t>shall be submitted</w:t>
      </w:r>
      <w:proofErr w:type="gramEnd"/>
      <w:r>
        <w:t xml:space="preserve"> to the Committee for Enrollment Procedures in writing within 24 hours of the publication of the ranking list on the respective Faculty's bulletin board. The Committee shall consider the applicant's complaint within 24 hours of its submission.</w:t>
      </w:r>
    </w:p>
    <w:p w:rsidR="000272BD" w:rsidRDefault="00F84124">
      <w:pPr>
        <w:pStyle w:val="Heading30"/>
        <w:keepNext/>
        <w:keepLines/>
        <w:pBdr>
          <w:top w:val="single" w:sz="4" w:space="0" w:color="auto"/>
          <w:left w:val="single" w:sz="4" w:space="0" w:color="auto"/>
          <w:bottom w:val="single" w:sz="4" w:space="0" w:color="auto"/>
          <w:right w:val="single" w:sz="4" w:space="0" w:color="auto"/>
        </w:pBdr>
        <w:spacing w:after="380" w:line="240" w:lineRule="auto"/>
        <w:jc w:val="both"/>
      </w:pPr>
      <w:bookmarkStart w:id="28" w:name="bookmark28"/>
      <w:bookmarkStart w:id="29" w:name="bookmark29"/>
      <w:bookmarkStart w:id="30" w:name="bookmark30"/>
      <w:r>
        <w:t>PARTICIPATION IN STUDY COSTS (TUITION)</w:t>
      </w:r>
      <w:bookmarkEnd w:id="28"/>
      <w:bookmarkEnd w:id="29"/>
      <w:bookmarkEnd w:id="30"/>
    </w:p>
    <w:p w:rsidR="000272BD" w:rsidRDefault="00F84124">
      <w:pPr>
        <w:pStyle w:val="BodyText"/>
        <w:spacing w:after="0"/>
        <w:jc w:val="both"/>
      </w:pPr>
      <w:r>
        <w:t xml:space="preserve">CLASS: </w:t>
      </w:r>
      <w:r w:rsidR="00EE2D4E">
        <w:rPr>
          <w:rStyle w:val="fontstyle01"/>
        </w:rPr>
        <w:t>003-01/20-03/02</w:t>
      </w:r>
    </w:p>
    <w:p w:rsidR="000272BD" w:rsidRDefault="00F84124">
      <w:pPr>
        <w:pStyle w:val="BodyText"/>
        <w:spacing w:after="0"/>
        <w:jc w:val="both"/>
      </w:pPr>
      <w:r>
        <w:t xml:space="preserve">REG.NO: </w:t>
      </w:r>
      <w:r w:rsidR="00EE2D4E">
        <w:rPr>
          <w:rStyle w:val="fontstyle01"/>
        </w:rPr>
        <w:t>2170-57-01-20-51</w:t>
      </w:r>
    </w:p>
    <w:p w:rsidR="000272BD" w:rsidRDefault="00F84124">
      <w:pPr>
        <w:pStyle w:val="BodyText"/>
        <w:spacing w:after="520"/>
        <w:jc w:val="both"/>
      </w:pPr>
      <w:r>
        <w:t xml:space="preserve">Rijeka, </w:t>
      </w:r>
      <w:r w:rsidR="00951828">
        <w:t>Fe</w:t>
      </w:r>
      <w:r w:rsidR="00EE2D4E">
        <w:t>bruary</w:t>
      </w:r>
      <w:r>
        <w:t xml:space="preserve"> 2</w:t>
      </w:r>
      <w:r w:rsidR="00EE2D4E">
        <w:t>5</w:t>
      </w:r>
      <w:r>
        <w:t>, 20</w:t>
      </w:r>
      <w:r w:rsidR="00EE2D4E">
        <w:t>20</w:t>
      </w:r>
    </w:p>
    <w:p w:rsidR="000272BD" w:rsidRDefault="00F84124">
      <w:pPr>
        <w:pStyle w:val="BodyText"/>
        <w:spacing w:after="260" w:line="252" w:lineRule="auto"/>
        <w:jc w:val="both"/>
      </w:pPr>
      <w:proofErr w:type="gramStart"/>
      <w:r>
        <w:t>Pursuant to Article 63 and Article 117, paragraph 2 of the Statute of the University of Rijeka (c.v. as of June 5, 2018), and in line with the proposal set forth by the Expert Council of the Center for Studies on March 12, 2019, the Senate of the University of Rijeka at its 27th session as of March 26, brought the following</w:t>
      </w:r>
      <w:proofErr w:type="gramEnd"/>
    </w:p>
    <w:p w:rsidR="000272BD" w:rsidRDefault="00F84124">
      <w:pPr>
        <w:pStyle w:val="Heading30"/>
        <w:keepNext/>
        <w:keepLines/>
        <w:spacing w:after="260" w:line="252" w:lineRule="auto"/>
        <w:jc w:val="center"/>
      </w:pPr>
      <w:bookmarkStart w:id="31" w:name="bookmark31"/>
      <w:bookmarkStart w:id="32" w:name="bookmark32"/>
      <w:bookmarkStart w:id="33" w:name="bookmark33"/>
      <w:r>
        <w:lastRenderedPageBreak/>
        <w:t>DECISION</w:t>
      </w:r>
      <w:bookmarkEnd w:id="31"/>
      <w:bookmarkEnd w:id="32"/>
      <w:bookmarkEnd w:id="33"/>
      <w:r>
        <w:br/>
      </w:r>
      <w:r>
        <w:rPr>
          <w:rStyle w:val="BodyTextChar"/>
        </w:rPr>
        <w:t>on the amount of participation in study costs for students enrolling the first year of undergraduate,</w:t>
      </w:r>
      <w:r>
        <w:rPr>
          <w:rStyle w:val="BodyTextChar"/>
        </w:rPr>
        <w:br/>
        <w:t>integrated (undergraduate and graduate) and graduate university studies and undergraduate</w:t>
      </w:r>
      <w:r>
        <w:rPr>
          <w:rStyle w:val="BodyTextChar"/>
        </w:rPr>
        <w:br/>
        <w:t xml:space="preserve">vocational and specialist graduate vocational studies in the academic year </w:t>
      </w:r>
      <w:r w:rsidR="00AB6D45">
        <w:rPr>
          <w:rStyle w:val="BodyTextChar"/>
        </w:rPr>
        <w:t xml:space="preserve">2020/2021 </w:t>
      </w:r>
      <w:r>
        <w:rPr>
          <w:rStyle w:val="BodyTextChar"/>
        </w:rPr>
        <w:t>offered by the</w:t>
      </w:r>
      <w:r>
        <w:rPr>
          <w:rStyle w:val="BodyTextChar"/>
        </w:rPr>
        <w:br/>
        <w:t>University of Rijeka and its constituents</w:t>
      </w:r>
    </w:p>
    <w:p w:rsidR="000272BD" w:rsidRDefault="00F84124">
      <w:pPr>
        <w:pStyle w:val="BodyText"/>
        <w:spacing w:after="60" w:line="252" w:lineRule="auto"/>
        <w:jc w:val="center"/>
      </w:pPr>
      <w:bookmarkStart w:id="34" w:name="bookmark34"/>
      <w:r>
        <w:t>I</w:t>
      </w:r>
      <w:bookmarkEnd w:id="34"/>
    </w:p>
    <w:p w:rsidR="000272BD" w:rsidRDefault="00F84124">
      <w:pPr>
        <w:pStyle w:val="BodyText"/>
        <w:spacing w:after="0" w:line="252" w:lineRule="auto"/>
        <w:jc w:val="both"/>
      </w:pPr>
      <w:r>
        <w:t>Full participation in study costs (hereinafter: participation) for enrollment into the 1st year of undergraduate vocational, undergraduate university, integrated university, graduate university and specialist graduate vocational studies offered by the University of Rijeka and its constituents (hereinafter: studies</w:t>
      </w:r>
      <w:r w:rsidR="00AB6D45">
        <w:t>) in the academic year 2020/2021</w:t>
      </w:r>
      <w:r>
        <w:t xml:space="preserve"> amounts to:</w:t>
      </w:r>
    </w:p>
    <w:p w:rsidR="000272BD" w:rsidRDefault="00F84124">
      <w:pPr>
        <w:pStyle w:val="BodyText"/>
        <w:numPr>
          <w:ilvl w:val="0"/>
          <w:numId w:val="4"/>
        </w:numPr>
        <w:tabs>
          <w:tab w:val="left" w:pos="286"/>
        </w:tabs>
        <w:spacing w:after="0" w:line="252" w:lineRule="auto"/>
        <w:jc w:val="both"/>
      </w:pPr>
      <w:bookmarkStart w:id="35" w:name="bookmark35"/>
      <w:bookmarkEnd w:id="35"/>
      <w:r>
        <w:rPr>
          <w:b/>
          <w:bCs/>
        </w:rPr>
        <w:t xml:space="preserve">5,500.00 HRK </w:t>
      </w:r>
      <w:r>
        <w:t>(1ECTS = 91.67 HRK) for university studies in social sciences and humanities, vocational studies in social studies and humanities professions and for studies offered at the Facult</w:t>
      </w:r>
      <w:r w:rsidR="00951828">
        <w:t xml:space="preserve">y for Teacher Education and Cultural Studies </w:t>
      </w:r>
      <w:r>
        <w:t xml:space="preserve">offered by the </w:t>
      </w:r>
      <w:r w:rsidRPr="00951828">
        <w:t>Faculty of Humanities and Social Sciences</w:t>
      </w:r>
      <w:r>
        <w:t>;</w:t>
      </w:r>
    </w:p>
    <w:p w:rsidR="000272BD" w:rsidRDefault="00F84124">
      <w:pPr>
        <w:pStyle w:val="BodyText"/>
        <w:numPr>
          <w:ilvl w:val="0"/>
          <w:numId w:val="4"/>
        </w:numPr>
        <w:tabs>
          <w:tab w:val="left" w:pos="289"/>
        </w:tabs>
        <w:spacing w:after="0" w:line="252" w:lineRule="auto"/>
        <w:jc w:val="both"/>
      </w:pPr>
      <w:bookmarkStart w:id="36" w:name="bookmark36"/>
      <w:bookmarkEnd w:id="36"/>
      <w:r>
        <w:rPr>
          <w:b/>
          <w:bCs/>
        </w:rPr>
        <w:t xml:space="preserve">7,370.00 HRK </w:t>
      </w:r>
      <w:r>
        <w:t>(1ECTS = 122.83 HRK) for university studies in technical and biotechnical sciences and for vocational studies in technical and biotechnical professions as well as studies offered by the Department of Mathematics and the Department for Physics.</w:t>
      </w:r>
    </w:p>
    <w:p w:rsidR="000272BD" w:rsidRDefault="00F84124">
      <w:pPr>
        <w:pStyle w:val="BodyText"/>
        <w:numPr>
          <w:ilvl w:val="0"/>
          <w:numId w:val="4"/>
        </w:numPr>
        <w:tabs>
          <w:tab w:val="left" w:pos="286"/>
        </w:tabs>
        <w:spacing w:after="260" w:line="252" w:lineRule="auto"/>
        <w:jc w:val="both"/>
      </w:pPr>
      <w:bookmarkStart w:id="37" w:name="bookmark37"/>
      <w:bookmarkEnd w:id="37"/>
      <w:r>
        <w:rPr>
          <w:b/>
          <w:bCs/>
        </w:rPr>
        <w:t xml:space="preserve">9,240.00 HRK </w:t>
      </w:r>
      <w:r>
        <w:t>(1ECTS = 154.,00 HRK) for university studies in biomedicine and health or vocational studies in biomedicine and health professions as well as studies offered by the Department of Biotechnology and the Academy of Applied Arts.</w:t>
      </w:r>
    </w:p>
    <w:p w:rsidR="000272BD" w:rsidRDefault="00F84124">
      <w:pPr>
        <w:pStyle w:val="BodyText"/>
        <w:spacing w:after="0" w:line="252" w:lineRule="auto"/>
        <w:ind w:left="4240"/>
      </w:pPr>
      <w:bookmarkStart w:id="38" w:name="bookmark38"/>
      <w:r>
        <w:t>I</w:t>
      </w:r>
      <w:bookmarkEnd w:id="38"/>
      <w:r>
        <w:t>I</w:t>
      </w:r>
    </w:p>
    <w:p w:rsidR="000272BD" w:rsidRDefault="00F84124">
      <w:pPr>
        <w:pStyle w:val="BodyText"/>
        <w:numPr>
          <w:ilvl w:val="0"/>
          <w:numId w:val="5"/>
        </w:numPr>
        <w:tabs>
          <w:tab w:val="left" w:pos="342"/>
        </w:tabs>
        <w:spacing w:after="0" w:line="252" w:lineRule="auto"/>
        <w:jc w:val="both"/>
      </w:pPr>
      <w:bookmarkStart w:id="39" w:name="bookmark39"/>
      <w:bookmarkEnd w:id="39"/>
      <w:r>
        <w:t>Participation for full-time students enrolling for the first time into the first year of st</w:t>
      </w:r>
      <w:r w:rsidR="00AB6D45">
        <w:t xml:space="preserve">udies in the academic year </w:t>
      </w:r>
      <w:r>
        <w:t>2020</w:t>
      </w:r>
      <w:r w:rsidR="00AB6D45">
        <w:t>/2021</w:t>
      </w:r>
      <w:r>
        <w:t xml:space="preserve"> </w:t>
      </w:r>
      <w:proofErr w:type="gramStart"/>
      <w:r>
        <w:t>is completely covered</w:t>
      </w:r>
      <w:proofErr w:type="gramEnd"/>
      <w:r>
        <w:t xml:space="preserve"> by the Ministry of Science and Education from funds out of the State Budget of the Republic of Croatia.</w:t>
      </w:r>
    </w:p>
    <w:p w:rsidR="000272BD" w:rsidRDefault="00F84124">
      <w:pPr>
        <w:pStyle w:val="BodyText"/>
        <w:numPr>
          <w:ilvl w:val="0"/>
          <w:numId w:val="5"/>
        </w:numPr>
        <w:tabs>
          <w:tab w:val="left" w:pos="337"/>
        </w:tabs>
        <w:spacing w:after="0" w:line="252" w:lineRule="auto"/>
        <w:jc w:val="both"/>
      </w:pPr>
      <w:bookmarkStart w:id="40" w:name="bookmark40"/>
      <w:bookmarkEnd w:id="40"/>
      <w:r>
        <w:t>The State shall subsidize a student's study costs for the number of years corresponding to the prescribed duration of the respective studies (e.g. 3 years at undergraduate level).</w:t>
      </w:r>
    </w:p>
    <w:p w:rsidR="000272BD" w:rsidRDefault="00F84124">
      <w:pPr>
        <w:pStyle w:val="BodyText"/>
        <w:numPr>
          <w:ilvl w:val="0"/>
          <w:numId w:val="5"/>
        </w:numPr>
        <w:tabs>
          <w:tab w:val="left" w:pos="342"/>
        </w:tabs>
        <w:spacing w:after="0" w:line="252" w:lineRule="auto"/>
        <w:jc w:val="both"/>
      </w:pPr>
      <w:bookmarkStart w:id="41" w:name="bookmark41"/>
      <w:bookmarkEnd w:id="41"/>
      <w:r>
        <w:t>In case of students having an established 60% or higher disability, the State shall subsidize the student's study costs for the number of years double the prescribed duration of the respective studies</w:t>
      </w:r>
      <w:r w:rsidR="00951828">
        <w:t>.</w:t>
      </w:r>
    </w:p>
    <w:p w:rsidR="000272BD" w:rsidRDefault="00F84124">
      <w:pPr>
        <w:pStyle w:val="BodyText"/>
        <w:numPr>
          <w:ilvl w:val="0"/>
          <w:numId w:val="5"/>
        </w:numPr>
        <w:tabs>
          <w:tab w:val="left" w:pos="342"/>
        </w:tabs>
        <w:spacing w:after="0" w:line="252" w:lineRule="auto"/>
        <w:jc w:val="both"/>
      </w:pPr>
      <w:bookmarkStart w:id="42" w:name="bookmark42"/>
      <w:bookmarkEnd w:id="42"/>
      <w:r>
        <w:t xml:space="preserve">Full-time students enrolling for the first time into the first year of studies whose study costs </w:t>
      </w:r>
      <w:proofErr w:type="gramStart"/>
      <w:r>
        <w:t>are not covered</w:t>
      </w:r>
      <w:proofErr w:type="gramEnd"/>
      <w:r>
        <w:t xml:space="preserve"> out of the State Budget (</w:t>
      </w:r>
      <w:r w:rsidR="00951828">
        <w:t>e.g. studies taught in English)</w:t>
      </w:r>
      <w:r>
        <w:t xml:space="preserve"> shall pay the participation in the study costs in the amount determined by a special decision brought by the Senate.</w:t>
      </w:r>
    </w:p>
    <w:p w:rsidR="000272BD" w:rsidRDefault="00F84124">
      <w:pPr>
        <w:pStyle w:val="BodyText"/>
        <w:numPr>
          <w:ilvl w:val="0"/>
          <w:numId w:val="5"/>
        </w:numPr>
        <w:tabs>
          <w:tab w:val="left" w:pos="346"/>
        </w:tabs>
        <w:spacing w:after="260" w:line="252" w:lineRule="auto"/>
        <w:jc w:val="both"/>
      </w:pPr>
      <w:bookmarkStart w:id="43" w:name="bookmark43"/>
      <w:bookmarkEnd w:id="43"/>
      <w:r>
        <w:t xml:space="preserve">Foreign nationals (unless otherwise specified by an intergovernmental agreement) enrolling full-time studies shall pay a maximum of three times the participation amount set out in paragraph I of this Decision. The </w:t>
      </w:r>
      <w:proofErr w:type="gramStart"/>
      <w:r>
        <w:t>exact amount shall be determined by the respective higher education institution/ holder of the study program</w:t>
      </w:r>
      <w:proofErr w:type="gramEnd"/>
      <w:r>
        <w:t>.</w:t>
      </w:r>
    </w:p>
    <w:p w:rsidR="000272BD" w:rsidRDefault="00F84124">
      <w:pPr>
        <w:pStyle w:val="BodyText"/>
        <w:spacing w:after="260"/>
        <w:jc w:val="center"/>
      </w:pPr>
      <w:r>
        <w:t>III</w:t>
      </w:r>
    </w:p>
    <w:p w:rsidR="000272BD" w:rsidRDefault="00F84124">
      <w:pPr>
        <w:pStyle w:val="BodyText"/>
        <w:numPr>
          <w:ilvl w:val="0"/>
          <w:numId w:val="6"/>
        </w:numPr>
        <w:tabs>
          <w:tab w:val="left" w:pos="342"/>
        </w:tabs>
        <w:spacing w:after="0"/>
        <w:jc w:val="both"/>
      </w:pPr>
      <w:bookmarkStart w:id="44" w:name="bookmark44"/>
      <w:bookmarkEnd w:id="44"/>
      <w:r>
        <w:rPr>
          <w:b/>
          <w:bCs/>
        </w:rPr>
        <w:t xml:space="preserve">Part-time students </w:t>
      </w:r>
      <w:r>
        <w:t>shall pay the full amount of participation determined in paragraph I of this Decision. Part-time students may enroll course worth a minimum of 30 ECTS credits and a maximum of 60 ECTS credits within one academic year.</w:t>
      </w:r>
    </w:p>
    <w:p w:rsidR="000272BD" w:rsidRDefault="00F84124">
      <w:pPr>
        <w:pStyle w:val="BodyText"/>
        <w:numPr>
          <w:ilvl w:val="0"/>
          <w:numId w:val="6"/>
        </w:numPr>
        <w:tabs>
          <w:tab w:val="left" w:pos="342"/>
        </w:tabs>
        <w:spacing w:after="0"/>
        <w:jc w:val="both"/>
      </w:pPr>
      <w:bookmarkStart w:id="45" w:name="bookmark45"/>
      <w:bookmarkEnd w:id="45"/>
      <w:proofErr w:type="gramStart"/>
      <w:r>
        <w:t>Part-time students who are war veterans from the Croatian Homeland War, Croatian wartime military disabled veterans (HRVI), children of killed, detained or missing Homeland War veterans, children of the Croatian Homeland War defenders with a 1st degree disability (100%) or persons with an estab</w:t>
      </w:r>
      <w:r w:rsidR="00EE303A">
        <w:t>lished 60% or higher disability</w:t>
      </w:r>
      <w:r>
        <w:t xml:space="preserve"> shall pay up to a maximum of 50% of full participation determined under paragraph I of this Decision.</w:t>
      </w:r>
      <w:proofErr w:type="gramEnd"/>
    </w:p>
    <w:p w:rsidR="000272BD" w:rsidRDefault="00F84124">
      <w:pPr>
        <w:pStyle w:val="BodyText"/>
        <w:numPr>
          <w:ilvl w:val="0"/>
          <w:numId w:val="6"/>
        </w:numPr>
        <w:tabs>
          <w:tab w:val="left" w:pos="346"/>
        </w:tabs>
        <w:spacing w:after="260"/>
        <w:jc w:val="both"/>
      </w:pPr>
      <w:bookmarkStart w:id="46" w:name="bookmark46"/>
      <w:bookmarkEnd w:id="46"/>
      <w:r>
        <w:t xml:space="preserve">Part-time student coming from alternative </w:t>
      </w:r>
      <w:proofErr w:type="gramStart"/>
      <w:r>
        <w:t>child care</w:t>
      </w:r>
      <w:proofErr w:type="gramEnd"/>
      <w:r>
        <w:t xml:space="preserve"> (children's and educational homes, foster families) shall pay up to a maximum of 50% of full participat</w:t>
      </w:r>
      <w:r w:rsidR="00EE303A">
        <w:t>ion determined under paragraph I</w:t>
      </w:r>
      <w:r>
        <w:t xml:space="preserve"> of this Decision.</w:t>
      </w:r>
    </w:p>
    <w:p w:rsidR="000272BD" w:rsidRDefault="00F84124">
      <w:pPr>
        <w:pStyle w:val="BodyText"/>
        <w:spacing w:after="0"/>
        <w:jc w:val="center"/>
      </w:pPr>
      <w:bookmarkStart w:id="47" w:name="bookmark47"/>
      <w:r>
        <w:t>I</w:t>
      </w:r>
      <w:bookmarkEnd w:id="47"/>
      <w:r>
        <w:t>V</w:t>
      </w:r>
    </w:p>
    <w:p w:rsidR="000272BD" w:rsidRDefault="00F84124">
      <w:pPr>
        <w:pStyle w:val="BodyText"/>
        <w:numPr>
          <w:ilvl w:val="0"/>
          <w:numId w:val="7"/>
        </w:numPr>
        <w:tabs>
          <w:tab w:val="left" w:pos="346"/>
        </w:tabs>
        <w:spacing w:after="60"/>
        <w:jc w:val="both"/>
      </w:pPr>
      <w:bookmarkStart w:id="48" w:name="bookmark48"/>
      <w:bookmarkEnd w:id="48"/>
      <w:proofErr w:type="gramStart"/>
      <w:r>
        <w:t xml:space="preserve">A student who has already used the right of having full-time studies covered by the Ministry of Science and Education and is enrolling </w:t>
      </w:r>
      <w:r w:rsidR="00EE303A">
        <w:t xml:space="preserve">into </w:t>
      </w:r>
      <w:r>
        <w:t>the 1st year of full-time studies at one of the constituents of the University of Rijeka shall pay the full amount of participation in the costs of the studies set out in paragraph I of this Decision.</w:t>
      </w:r>
      <w:proofErr w:type="gramEnd"/>
    </w:p>
    <w:p w:rsidR="000272BD" w:rsidRDefault="00F84124">
      <w:pPr>
        <w:pStyle w:val="BodyText"/>
        <w:numPr>
          <w:ilvl w:val="0"/>
          <w:numId w:val="7"/>
        </w:numPr>
        <w:tabs>
          <w:tab w:val="left" w:pos="342"/>
        </w:tabs>
        <w:spacing w:after="60"/>
        <w:jc w:val="both"/>
      </w:pPr>
      <w:bookmarkStart w:id="49" w:name="bookmark49"/>
      <w:bookmarkEnd w:id="49"/>
      <w:r>
        <w:t>A student who has already studied in the Republic of Croatia in the status of a full-time student but has covered his/her own study costs or has studied in the status of a part-time student is entitled to enroll</w:t>
      </w:r>
      <w:r w:rsidR="00EE303A">
        <w:t xml:space="preserve"> into</w:t>
      </w:r>
      <w:r>
        <w:t xml:space="preserve"> the first year of full-time studies of the same level with state subsidy.</w:t>
      </w:r>
    </w:p>
    <w:p w:rsidR="000272BD" w:rsidRDefault="00F84124">
      <w:pPr>
        <w:pStyle w:val="BodyText"/>
        <w:numPr>
          <w:ilvl w:val="0"/>
          <w:numId w:val="7"/>
        </w:numPr>
        <w:tabs>
          <w:tab w:val="left" w:pos="342"/>
        </w:tabs>
        <w:spacing w:after="360"/>
        <w:jc w:val="both"/>
      </w:pPr>
      <w:bookmarkStart w:id="50" w:name="bookmark50"/>
      <w:bookmarkEnd w:id="50"/>
      <w:proofErr w:type="gramStart"/>
      <w:r>
        <w:lastRenderedPageBreak/>
        <w:t>When transferring from one study program to another study program within the same higher education institution or when transferring from a study program offered by one higher education institution to another study program offered by another higher education institution, the student shall pay the full amount of the participation in the costs of the studies set out in paragraph I of this Decision, regardless of the number of acquired ECTS credits in the previous academic year at the previous institution of higher education.</w:t>
      </w:r>
      <w:proofErr w:type="gramEnd"/>
      <w:r>
        <w:t xml:space="preserve"> The right to enroll</w:t>
      </w:r>
      <w:r w:rsidR="00EE303A">
        <w:t xml:space="preserve"> into</w:t>
      </w:r>
      <w:r>
        <w:t xml:space="preserve"> senior years with state subsidy </w:t>
      </w:r>
      <w:proofErr w:type="gramStart"/>
      <w:r>
        <w:t>is realized</w:t>
      </w:r>
      <w:proofErr w:type="gramEnd"/>
      <w:r>
        <w:t xml:space="preserve"> in accordance with the Contract.</w:t>
      </w:r>
    </w:p>
    <w:p w:rsidR="000272BD" w:rsidRDefault="00F84124">
      <w:pPr>
        <w:pStyle w:val="BodyText"/>
        <w:spacing w:after="60"/>
        <w:jc w:val="center"/>
      </w:pPr>
      <w:bookmarkStart w:id="51" w:name="bookmark51"/>
      <w:r>
        <w:t>V</w:t>
      </w:r>
      <w:bookmarkEnd w:id="51"/>
    </w:p>
    <w:p w:rsidR="000272BD" w:rsidRDefault="00F84124">
      <w:pPr>
        <w:pStyle w:val="BodyText"/>
        <w:spacing w:line="252" w:lineRule="auto"/>
      </w:pPr>
      <w:r>
        <w:t>This Decision shall come into force on the date of its passing and publishing on the University's website, and shall be applicable for enrollm</w:t>
      </w:r>
      <w:r w:rsidR="00AB6D45">
        <w:t>ent into the academic year 2020/2021.</w:t>
      </w:r>
    </w:p>
    <w:p w:rsidR="000272BD" w:rsidRDefault="00F84124">
      <w:pPr>
        <w:pStyle w:val="BodyText"/>
        <w:spacing w:after="260"/>
        <w:ind w:left="4460" w:right="500"/>
        <w:jc w:val="right"/>
      </w:pPr>
      <w:proofErr w:type="gramStart"/>
      <w:r>
        <w:t xml:space="preserve">MADAM RECTOR Full Professor </w:t>
      </w:r>
      <w:proofErr w:type="spellStart"/>
      <w:r>
        <w:t>Snježana</w:t>
      </w:r>
      <w:proofErr w:type="spellEnd"/>
      <w:r>
        <w:t xml:space="preserve"> </w:t>
      </w:r>
      <w:proofErr w:type="spellStart"/>
      <w:r>
        <w:t>Prijić-Samaržija</w:t>
      </w:r>
      <w:proofErr w:type="spellEnd"/>
      <w:r>
        <w:t xml:space="preserve">, Ph.D. </w:t>
      </w:r>
      <w:proofErr w:type="spellStart"/>
      <w:r>
        <w:t>m.p</w:t>
      </w:r>
      <w:proofErr w:type="spellEnd"/>
      <w:r>
        <w:t>.</w:t>
      </w:r>
      <w:proofErr w:type="gramEnd"/>
    </w:p>
    <w:p w:rsidR="000272BD" w:rsidRDefault="00F84124">
      <w:pPr>
        <w:pStyle w:val="BodyText"/>
        <w:spacing w:after="520"/>
      </w:pPr>
      <w:r>
        <w:rPr>
          <w:b/>
          <w:bCs/>
        </w:rPr>
        <w:t>ENROLLMENT</w:t>
      </w:r>
    </w:p>
    <w:p w:rsidR="000272BD" w:rsidRDefault="00F84124">
      <w:pPr>
        <w:pStyle w:val="BodyText"/>
        <w:spacing w:line="264" w:lineRule="auto"/>
        <w:jc w:val="both"/>
      </w:pPr>
      <w:r>
        <w:t xml:space="preserve">All information on </w:t>
      </w:r>
      <w:r>
        <w:rPr>
          <w:b/>
          <w:bCs/>
        </w:rPr>
        <w:t xml:space="preserve">enrollment </w:t>
      </w:r>
      <w:r>
        <w:t xml:space="preserve">into individual study programs offered at the University of Rijeka </w:t>
      </w:r>
      <w:proofErr w:type="gramStart"/>
      <w:r>
        <w:t>can be found</w:t>
      </w:r>
      <w:proofErr w:type="gramEnd"/>
      <w:r>
        <w:t xml:space="preserve"> under the section </w:t>
      </w:r>
      <w:r>
        <w:rPr>
          <w:b/>
          <w:bCs/>
        </w:rPr>
        <w:t xml:space="preserve">INDIVIDUAL FACULTY CALLS FOR ENROLLMENT </w:t>
      </w:r>
      <w:r>
        <w:t>and/or the respective faculties' websites.</w:t>
      </w:r>
    </w:p>
    <w:p w:rsidR="000272BD" w:rsidRDefault="00F84124">
      <w:pPr>
        <w:pStyle w:val="BodyText"/>
        <w:spacing w:after="260"/>
        <w:jc w:val="both"/>
      </w:pPr>
      <w:r>
        <w:t>Pursuant to the decision of the Senate as of March 26, 2019 (CLASS: 003-01/19-03/02, REGNO: 2170-57</w:t>
      </w:r>
      <w:r>
        <w:softHyphen/>
        <w:t xml:space="preserve">01-19-104) the enrollment costs for enrolling </w:t>
      </w:r>
      <w:r w:rsidR="00EE303A">
        <w:t xml:space="preserve">into </w:t>
      </w:r>
      <w:r>
        <w:t xml:space="preserve">the first year of studies amounts to </w:t>
      </w:r>
      <w:r>
        <w:rPr>
          <w:b/>
          <w:bCs/>
        </w:rPr>
        <w:t xml:space="preserve">380.00 HRK. </w:t>
      </w:r>
      <w:r>
        <w:t>This amount does not cover student insurance in the event of accident.</w:t>
      </w:r>
    </w:p>
    <w:p w:rsidR="000272BD" w:rsidRDefault="00F84124">
      <w:pPr>
        <w:pStyle w:val="Heading30"/>
        <w:keepNext/>
        <w:keepLines/>
        <w:spacing w:after="520" w:line="240" w:lineRule="auto"/>
        <w:jc w:val="both"/>
      </w:pPr>
      <w:bookmarkStart w:id="52" w:name="bookmark52"/>
      <w:bookmarkStart w:id="53" w:name="bookmark53"/>
      <w:bookmarkStart w:id="54" w:name="bookmark54"/>
      <w:r>
        <w:t>ADDITIONAL INFORMATION FOR APPLICANTS</w:t>
      </w:r>
      <w:bookmarkEnd w:id="52"/>
      <w:bookmarkEnd w:id="53"/>
      <w:bookmarkEnd w:id="54"/>
    </w:p>
    <w:p w:rsidR="000272BD" w:rsidRDefault="00F84124">
      <w:pPr>
        <w:pStyle w:val="BodyText"/>
        <w:numPr>
          <w:ilvl w:val="0"/>
          <w:numId w:val="8"/>
        </w:numPr>
        <w:tabs>
          <w:tab w:val="left" w:pos="286"/>
        </w:tabs>
        <w:spacing w:after="240" w:line="257" w:lineRule="auto"/>
        <w:jc w:val="both"/>
      </w:pPr>
      <w:bookmarkStart w:id="55" w:name="bookmark55"/>
      <w:bookmarkEnd w:id="55"/>
      <w:r>
        <w:rPr>
          <w:b/>
          <w:bCs/>
        </w:rPr>
        <w:t xml:space="preserve">The </w:t>
      </w:r>
      <w:proofErr w:type="gramStart"/>
      <w:r>
        <w:rPr>
          <w:b/>
          <w:bCs/>
        </w:rPr>
        <w:t xml:space="preserve">Croatian language exam (B2 level) for foreigners </w:t>
      </w:r>
      <w:r>
        <w:t xml:space="preserve">is conducted by the </w:t>
      </w:r>
      <w:r>
        <w:rPr>
          <w:b/>
          <w:bCs/>
        </w:rPr>
        <w:t xml:space="preserve">National </w:t>
      </w:r>
      <w:r>
        <w:t>Centre</w:t>
      </w:r>
      <w:proofErr w:type="gramEnd"/>
      <w:r>
        <w:t xml:space="preserve"> for External Evaluation of Education, </w:t>
      </w:r>
      <w:proofErr w:type="spellStart"/>
      <w:r>
        <w:t>Damira</w:t>
      </w:r>
      <w:proofErr w:type="spellEnd"/>
      <w:r>
        <w:t xml:space="preserve"> </w:t>
      </w:r>
      <w:proofErr w:type="spellStart"/>
      <w:r>
        <w:t>Tomljanovića</w:t>
      </w:r>
      <w:proofErr w:type="spellEnd"/>
      <w:r>
        <w:t xml:space="preserve"> </w:t>
      </w:r>
      <w:proofErr w:type="spellStart"/>
      <w:r>
        <w:t>Gavrana</w:t>
      </w:r>
      <w:proofErr w:type="spellEnd"/>
      <w:r>
        <w:t xml:space="preserve"> 11, 10020 Zagre</w:t>
      </w:r>
      <w:hyperlink r:id="rId9" w:history="1">
        <w:r>
          <w:t xml:space="preserve">b </w:t>
        </w:r>
        <w:r>
          <w:rPr>
            <w:u w:val="single"/>
          </w:rPr>
          <w:t>link</w:t>
        </w:r>
        <w:r>
          <w:t xml:space="preserve">. </w:t>
        </w:r>
      </w:hyperlink>
      <w:r>
        <w:t>The information on whether the higher education institution requires foreign nationals to pass this</w:t>
      </w:r>
      <w:r w:rsidR="00EE303A">
        <w:t xml:space="preserve"> examination in order to enroll</w:t>
      </w:r>
      <w:r>
        <w:t xml:space="preserve"> </w:t>
      </w:r>
      <w:proofErr w:type="gramStart"/>
      <w:r>
        <w:t>can be found</w:t>
      </w:r>
      <w:proofErr w:type="gramEnd"/>
      <w:r>
        <w:t xml:space="preserve"> under the section </w:t>
      </w:r>
      <w:r>
        <w:rPr>
          <w:b/>
          <w:bCs/>
        </w:rPr>
        <w:t xml:space="preserve">INDIVIDUAL FACULTY CALLS FOR ENROLLMENT </w:t>
      </w:r>
      <w:r>
        <w:t>and/or the respective faculties' websites</w:t>
      </w:r>
      <w:r w:rsidR="00EE303A">
        <w:t>.</w:t>
      </w:r>
    </w:p>
    <w:p w:rsidR="000272BD" w:rsidRDefault="00F84124">
      <w:pPr>
        <w:pStyle w:val="Heading30"/>
        <w:keepNext/>
        <w:keepLines/>
        <w:numPr>
          <w:ilvl w:val="0"/>
          <w:numId w:val="8"/>
        </w:numPr>
        <w:tabs>
          <w:tab w:val="left" w:pos="301"/>
        </w:tabs>
        <w:spacing w:after="0" w:line="257" w:lineRule="auto"/>
      </w:pPr>
      <w:bookmarkStart w:id="56" w:name="bookmark58"/>
      <w:bookmarkStart w:id="57" w:name="bookmark56"/>
      <w:bookmarkStart w:id="58" w:name="bookmark57"/>
      <w:bookmarkStart w:id="59" w:name="bookmark59"/>
      <w:bookmarkEnd w:id="56"/>
      <w:r>
        <w:t>Croatian language course for foreign students studying at the University of Rijeka</w:t>
      </w:r>
      <w:bookmarkEnd w:id="57"/>
      <w:bookmarkEnd w:id="58"/>
      <w:bookmarkEnd w:id="59"/>
    </w:p>
    <w:p w:rsidR="000272BD" w:rsidRDefault="00F84124">
      <w:pPr>
        <w:pStyle w:val="BodyText"/>
        <w:spacing w:after="668" w:line="257" w:lineRule="auto"/>
      </w:pPr>
      <w:r>
        <w:t xml:space="preserve">Foreign students studying at the university of Rijeka have a possibility to </w:t>
      </w:r>
      <w:r w:rsidR="00EE303A">
        <w:t>take</w:t>
      </w:r>
      <w:r>
        <w:t xml:space="preserve"> Croatian language courses organized by the Rijeka Croatist School at the Faculty of Humanities and Social Sciences of the University of Rijeka, </w:t>
      </w:r>
      <w:proofErr w:type="spellStart"/>
      <w:r>
        <w:t>Sveučilišna</w:t>
      </w:r>
      <w:proofErr w:type="spellEnd"/>
      <w:r>
        <w:t xml:space="preserve"> </w:t>
      </w:r>
      <w:proofErr w:type="spellStart"/>
      <w:r>
        <w:t>avenija</w:t>
      </w:r>
      <w:proofErr w:type="spellEnd"/>
      <w:r>
        <w:t xml:space="preserve"> 4 (Campus). </w:t>
      </w:r>
      <w:proofErr w:type="gramStart"/>
      <w:r>
        <w:t>More detailed information</w:t>
      </w:r>
      <w:proofErr w:type="gramEnd"/>
      <w:r>
        <w:t xml:space="preserve"> can be obtained via telephone: +385(0)51/265-677, or the Faculty of Humanities and Social Sciences website </w:t>
      </w:r>
      <w:r>
        <w:rPr>
          <w:color w:val="0000FF"/>
          <w:u w:val="single"/>
        </w:rPr>
        <w:t>(link)</w:t>
      </w:r>
      <w:r>
        <w:rPr>
          <w:color w:val="0000FF"/>
        </w:rPr>
        <w:t xml:space="preserve"> </w:t>
      </w:r>
      <w:r>
        <w:t xml:space="preserve">or via email: </w:t>
      </w:r>
      <w:hyperlink r:id="rId10" w:history="1">
        <w:r>
          <w:t>zmacan@ffri.hr.</w:t>
        </w:r>
      </w:hyperlink>
    </w:p>
    <w:p w:rsidR="000272BD" w:rsidRDefault="00F84124">
      <w:pPr>
        <w:pStyle w:val="Heading30"/>
        <w:keepNext/>
        <w:keepLines/>
        <w:pBdr>
          <w:top w:val="single" w:sz="0" w:space="4" w:color="B7DDE8"/>
          <w:left w:val="single" w:sz="0" w:space="0" w:color="B7DDE8"/>
          <w:bottom w:val="single" w:sz="0" w:space="17" w:color="B7DDE8"/>
          <w:right w:val="single" w:sz="0" w:space="0" w:color="B7DDE8"/>
        </w:pBdr>
        <w:shd w:val="clear" w:color="auto" w:fill="B7DDE8"/>
        <w:spacing w:after="382" w:line="240" w:lineRule="auto"/>
        <w:jc w:val="center"/>
      </w:pPr>
      <w:bookmarkStart w:id="60" w:name="bookmark60"/>
      <w:bookmarkStart w:id="61" w:name="bookmark61"/>
      <w:bookmarkStart w:id="62" w:name="bookmark62"/>
      <w:r>
        <w:t>INDIVIDUAL FACULTY CALL FOR ENROLLMENT</w:t>
      </w:r>
      <w:bookmarkEnd w:id="60"/>
      <w:bookmarkEnd w:id="61"/>
      <w:bookmarkEnd w:id="62"/>
    </w:p>
    <w:p w:rsidR="000272BD" w:rsidRDefault="00F84124">
      <w:pPr>
        <w:pStyle w:val="BodyText"/>
        <w:pBdr>
          <w:top w:val="single" w:sz="0" w:space="3" w:color="EAF2DD"/>
          <w:left w:val="single" w:sz="0" w:space="0" w:color="EAF2DD"/>
          <w:bottom w:val="single" w:sz="0" w:space="3" w:color="EAF2DD"/>
          <w:right w:val="single" w:sz="0" w:space="0" w:color="EAF2DD"/>
        </w:pBdr>
        <w:shd w:val="clear" w:color="auto" w:fill="EAF2DD"/>
        <w:spacing w:after="482" w:line="262" w:lineRule="auto"/>
      </w:pPr>
      <w:proofErr w:type="gramStart"/>
      <w:r>
        <w:rPr>
          <w:b/>
          <w:bCs/>
        </w:rPr>
        <w:t xml:space="preserve">FACULTY OF ECONOMICS AND BUSINESS, UNIVERSITY OF RIJEKA, 51000 Rijeka, </w:t>
      </w:r>
      <w:proofErr w:type="spellStart"/>
      <w:r>
        <w:rPr>
          <w:b/>
          <w:bCs/>
        </w:rPr>
        <w:t>Ivana</w:t>
      </w:r>
      <w:proofErr w:type="spellEnd"/>
      <w:r>
        <w:rPr>
          <w:b/>
          <w:bCs/>
        </w:rPr>
        <w:t xml:space="preserve"> </w:t>
      </w:r>
      <w:proofErr w:type="spellStart"/>
      <w:r>
        <w:rPr>
          <w:b/>
          <w:bCs/>
        </w:rPr>
        <w:t>Filipovića</w:t>
      </w:r>
      <w:proofErr w:type="spellEnd"/>
      <w:r>
        <w:rPr>
          <w:b/>
          <w:bCs/>
        </w:rPr>
        <w:t xml:space="preserve"> 4, tel. + 385 51 355 111, +385 51 355 172, +385 355 173, +385 51 355 113, +385 51 355 112, fax: +385 51 675 750, IBAN: HR 8623600001101586015 (to be entered under </w:t>
      </w:r>
      <w:r>
        <w:rPr>
          <w:b/>
          <w:bCs/>
          <w:i/>
          <w:iCs/>
        </w:rPr>
        <w:t xml:space="preserve">“IBAN </w:t>
      </w:r>
      <w:proofErr w:type="spellStart"/>
      <w:r>
        <w:rPr>
          <w:b/>
          <w:bCs/>
          <w:i/>
          <w:iCs/>
        </w:rPr>
        <w:t>primatelja</w:t>
      </w:r>
      <w:proofErr w:type="spellEnd"/>
      <w:r>
        <w:rPr>
          <w:b/>
          <w:bCs/>
          <w:i/>
          <w:iCs/>
        </w:rPr>
        <w:t>")</w:t>
      </w:r>
      <w:r>
        <w:rPr>
          <w:b/>
          <w:bCs/>
        </w:rPr>
        <w:t xml:space="preserve"> Reference number - applicant's OIB (personal identification number to be entered under </w:t>
      </w:r>
      <w:r>
        <w:rPr>
          <w:b/>
          <w:bCs/>
          <w:i/>
          <w:iCs/>
        </w:rPr>
        <w:t>“</w:t>
      </w:r>
      <w:proofErr w:type="spellStart"/>
      <w:r>
        <w:rPr>
          <w:b/>
          <w:bCs/>
          <w:i/>
          <w:iCs/>
        </w:rPr>
        <w:t>poziv</w:t>
      </w:r>
      <w:proofErr w:type="spellEnd"/>
      <w:r>
        <w:rPr>
          <w:b/>
          <w:bCs/>
          <w:i/>
          <w:iCs/>
        </w:rPr>
        <w:t xml:space="preserve"> </w:t>
      </w:r>
      <w:proofErr w:type="spellStart"/>
      <w:r>
        <w:rPr>
          <w:b/>
          <w:bCs/>
          <w:i/>
          <w:iCs/>
        </w:rPr>
        <w:t>na</w:t>
      </w:r>
      <w:proofErr w:type="spellEnd"/>
      <w:r>
        <w:rPr>
          <w:b/>
          <w:bCs/>
          <w:i/>
          <w:iCs/>
        </w:rPr>
        <w:t xml:space="preserve"> </w:t>
      </w:r>
      <w:proofErr w:type="spellStart"/>
      <w:r>
        <w:rPr>
          <w:b/>
          <w:bCs/>
          <w:i/>
          <w:iCs/>
        </w:rPr>
        <w:t>broj</w:t>
      </w:r>
      <w:proofErr w:type="spellEnd"/>
      <w:r>
        <w:rPr>
          <w:b/>
          <w:bCs/>
          <w:i/>
          <w:iCs/>
        </w:rPr>
        <w:t>"),</w:t>
      </w:r>
      <w:r>
        <w:rPr>
          <w:b/>
          <w:bCs/>
        </w:rPr>
        <w:t xml:space="preserve"> </w:t>
      </w:r>
      <w:hyperlink r:id="rId11" w:history="1">
        <w:r>
          <w:rPr>
            <w:b/>
            <w:bCs/>
            <w:color w:val="0000FF"/>
            <w:u w:val="single"/>
          </w:rPr>
          <w:t>www.efri.uniri.hr</w:t>
        </w:r>
      </w:hyperlink>
      <w:proofErr w:type="gramEnd"/>
    </w:p>
    <w:p w:rsidR="000272BD" w:rsidRDefault="00F84124">
      <w:pPr>
        <w:pStyle w:val="BodyText"/>
        <w:numPr>
          <w:ilvl w:val="0"/>
          <w:numId w:val="9"/>
        </w:numPr>
        <w:tabs>
          <w:tab w:val="left" w:pos="305"/>
        </w:tabs>
        <w:spacing w:after="0" w:line="262" w:lineRule="auto"/>
      </w:pPr>
      <w:bookmarkStart w:id="63" w:name="bookmark63"/>
      <w:bookmarkEnd w:id="63"/>
      <w:r>
        <w:rPr>
          <w:b/>
          <w:bCs/>
        </w:rPr>
        <w:t>ENROLLMENT REQUIREMENTS</w:t>
      </w:r>
    </w:p>
    <w:p w:rsidR="000272BD" w:rsidRDefault="003A4EEF">
      <w:pPr>
        <w:pStyle w:val="BodyText"/>
        <w:spacing w:after="0" w:line="262" w:lineRule="auto"/>
      </w:pPr>
      <w:r>
        <w:t>Underg</w:t>
      </w:r>
      <w:r w:rsidR="00F84124">
        <w:t xml:space="preserve">raduate university studies </w:t>
      </w:r>
      <w:proofErr w:type="gramStart"/>
      <w:r w:rsidR="00F84124">
        <w:t>may be enrolled</w:t>
      </w:r>
      <w:proofErr w:type="gramEnd"/>
      <w:r w:rsidR="00F84124">
        <w:t xml:space="preserve"> by:</w:t>
      </w:r>
    </w:p>
    <w:p w:rsidR="000272BD" w:rsidRDefault="00F84124">
      <w:pPr>
        <w:pStyle w:val="BodyText"/>
        <w:numPr>
          <w:ilvl w:val="0"/>
          <w:numId w:val="1"/>
        </w:numPr>
        <w:tabs>
          <w:tab w:val="left" w:pos="269"/>
        </w:tabs>
        <w:spacing w:after="0" w:line="262" w:lineRule="auto"/>
      </w:pPr>
      <w:bookmarkStart w:id="64" w:name="bookmark64"/>
      <w:bookmarkEnd w:id="64"/>
      <w:r>
        <w:t xml:space="preserve">Persons who hold a </w:t>
      </w:r>
      <w:r w:rsidR="00C63C33">
        <w:t>4 year high school diploma</w:t>
      </w:r>
    </w:p>
    <w:p w:rsidR="003A4EEF" w:rsidRDefault="003A4EEF" w:rsidP="003A4EEF">
      <w:pPr>
        <w:pStyle w:val="BodyText"/>
        <w:tabs>
          <w:tab w:val="left" w:pos="310"/>
        </w:tabs>
        <w:spacing w:after="0" w:line="262" w:lineRule="auto"/>
      </w:pPr>
      <w:bookmarkStart w:id="65" w:name="bookmark65"/>
      <w:bookmarkStart w:id="66" w:name="bookmark66"/>
      <w:bookmarkEnd w:id="65"/>
      <w:bookmarkEnd w:id="66"/>
    </w:p>
    <w:p w:rsidR="003A4EEF" w:rsidRPr="003A4EEF" w:rsidRDefault="003A4EEF" w:rsidP="003A4EEF">
      <w:pPr>
        <w:pStyle w:val="BodyText"/>
        <w:tabs>
          <w:tab w:val="left" w:pos="310"/>
        </w:tabs>
        <w:spacing w:after="0" w:line="262" w:lineRule="auto"/>
      </w:pPr>
    </w:p>
    <w:p w:rsidR="000272BD" w:rsidRPr="00EE2D4E" w:rsidRDefault="00F84124">
      <w:pPr>
        <w:pStyle w:val="BodyText"/>
        <w:numPr>
          <w:ilvl w:val="0"/>
          <w:numId w:val="9"/>
        </w:numPr>
        <w:tabs>
          <w:tab w:val="left" w:pos="310"/>
        </w:tabs>
        <w:spacing w:after="0" w:line="262" w:lineRule="auto"/>
      </w:pPr>
      <w:r>
        <w:rPr>
          <w:b/>
          <w:bCs/>
        </w:rPr>
        <w:lastRenderedPageBreak/>
        <w:t>APPLICATION</w:t>
      </w:r>
    </w:p>
    <w:p w:rsidR="00EE2D4E" w:rsidRPr="00EE2D4E" w:rsidRDefault="00EE2D4E" w:rsidP="00D371EF">
      <w:pPr>
        <w:pStyle w:val="BodyText"/>
        <w:numPr>
          <w:ilvl w:val="0"/>
          <w:numId w:val="1"/>
        </w:numPr>
        <w:tabs>
          <w:tab w:val="left" w:pos="269"/>
        </w:tabs>
        <w:spacing w:after="0" w:line="262" w:lineRule="auto"/>
      </w:pPr>
      <w:r w:rsidRPr="00EE2D4E">
        <w:t>Each candidate can apply for 10 study programs, and the set order of the desired study programs</w:t>
      </w:r>
      <w:r w:rsidR="00D371EF">
        <w:t xml:space="preserve">. </w:t>
      </w:r>
      <w:r w:rsidRPr="00EE2D4E">
        <w:t>The candidate can change the list of priorities (add and delete studies):</w:t>
      </w:r>
    </w:p>
    <w:p w:rsidR="00EE2D4E" w:rsidRPr="00EE2D4E" w:rsidRDefault="00EE2D4E" w:rsidP="00D371EF">
      <w:pPr>
        <w:pStyle w:val="BodyText"/>
        <w:tabs>
          <w:tab w:val="left" w:pos="269"/>
        </w:tabs>
        <w:spacing w:after="0" w:line="262" w:lineRule="auto"/>
      </w:pPr>
      <w:r w:rsidRPr="00EE2D4E">
        <w:t xml:space="preserve">- in the summer term, no later than July 20, 2020, by 2:59 pm or by </w:t>
      </w:r>
      <w:r w:rsidR="00D371EF">
        <w:t xml:space="preserve">the earlier deadline set by </w:t>
      </w:r>
      <w:r w:rsidR="00587F5C">
        <w:t xml:space="preserve">the </w:t>
      </w:r>
      <w:r w:rsidRPr="00EE2D4E">
        <w:t>higher education institution;</w:t>
      </w:r>
    </w:p>
    <w:p w:rsidR="00EE2D4E" w:rsidRPr="00EE2D4E" w:rsidRDefault="00EE2D4E" w:rsidP="00D371EF">
      <w:pPr>
        <w:pStyle w:val="BodyText"/>
        <w:tabs>
          <w:tab w:val="left" w:pos="269"/>
        </w:tabs>
        <w:spacing w:after="0" w:line="262" w:lineRule="auto"/>
      </w:pPr>
      <w:r w:rsidRPr="00EE2D4E">
        <w:t xml:space="preserve">- in the autumn term, no later than September 17, 2020, by 2:59 pm or by </w:t>
      </w:r>
      <w:r w:rsidR="00D371EF">
        <w:t xml:space="preserve">the earlier deadline set by </w:t>
      </w:r>
      <w:r w:rsidR="00587F5C">
        <w:t xml:space="preserve">the </w:t>
      </w:r>
      <w:r w:rsidRPr="00EE2D4E">
        <w:t>higher education institution.</w:t>
      </w:r>
    </w:p>
    <w:p w:rsidR="00D371EF" w:rsidRDefault="00587F5C" w:rsidP="00D371EF">
      <w:pPr>
        <w:pStyle w:val="BodyText"/>
        <w:tabs>
          <w:tab w:val="left" w:pos="269"/>
        </w:tabs>
        <w:spacing w:after="0" w:line="262" w:lineRule="auto"/>
      </w:pPr>
      <w:r>
        <w:t>Upon the publication of</w:t>
      </w:r>
      <w:r w:rsidR="00EE2D4E" w:rsidRPr="00EE2D4E">
        <w:t xml:space="preserve"> the final ranking lists for enrollment in</w:t>
      </w:r>
      <w:r>
        <w:t>to the</w:t>
      </w:r>
      <w:r w:rsidR="00EE2D4E" w:rsidRPr="00EE2D4E">
        <w:t xml:space="preserve"> study programs, the candidate</w:t>
      </w:r>
      <w:r>
        <w:t>’s name</w:t>
      </w:r>
      <w:r w:rsidR="00EE2D4E" w:rsidRPr="00EE2D4E">
        <w:t xml:space="preserve"> will </w:t>
      </w:r>
      <w:r w:rsidRPr="00EE2D4E">
        <w:t xml:space="preserve">only </w:t>
      </w:r>
      <w:r w:rsidR="00EE2D4E" w:rsidRPr="00EE2D4E">
        <w:t xml:space="preserve">be </w:t>
      </w:r>
      <w:r>
        <w:t>on the ranking list of</w:t>
      </w:r>
      <w:r w:rsidR="00D371EF">
        <w:t xml:space="preserve"> one </w:t>
      </w:r>
      <w:r w:rsidR="00EE2D4E" w:rsidRPr="00EE2D4E">
        <w:t>study program which is the highest on his</w:t>
      </w:r>
      <w:r>
        <w:t xml:space="preserve">/ her list of priorities, and </w:t>
      </w:r>
      <w:r w:rsidR="003F0F17">
        <w:t>for</w:t>
      </w:r>
      <w:r w:rsidR="00EE2D4E" w:rsidRPr="00EE2D4E">
        <w:t xml:space="preserve"> which </w:t>
      </w:r>
      <w:r>
        <w:t>s/</w:t>
      </w:r>
      <w:r w:rsidR="00EE2D4E" w:rsidRPr="00EE2D4E">
        <w:t>he exercises the right to enroll</w:t>
      </w:r>
      <w:r w:rsidR="003F0F17">
        <w:t xml:space="preserve"> </w:t>
      </w:r>
      <w:proofErr w:type="gramStart"/>
      <w:r w:rsidR="003F0F17">
        <w:t>into</w:t>
      </w:r>
      <w:proofErr w:type="gramEnd"/>
      <w:r w:rsidR="00EE2D4E" w:rsidRPr="00EE2D4E">
        <w:t xml:space="preserve">. </w:t>
      </w:r>
    </w:p>
    <w:p w:rsidR="00EE2D4E" w:rsidRPr="00EE2D4E" w:rsidRDefault="00EE2D4E" w:rsidP="00D371EF">
      <w:pPr>
        <w:pStyle w:val="BodyText"/>
        <w:tabs>
          <w:tab w:val="left" w:pos="269"/>
        </w:tabs>
        <w:spacing w:after="0" w:line="262" w:lineRule="auto"/>
      </w:pPr>
      <w:r w:rsidRPr="00EE2D4E">
        <w:t>The final rankings for enrollment in</w:t>
      </w:r>
      <w:r w:rsidR="00587F5C">
        <w:t>to the</w:t>
      </w:r>
      <w:r w:rsidRPr="00EE2D4E">
        <w:t xml:space="preserve"> study programs for the summer term </w:t>
      </w:r>
      <w:proofErr w:type="gramStart"/>
      <w:r w:rsidRPr="00EE2D4E">
        <w:t xml:space="preserve">will be </w:t>
      </w:r>
      <w:r w:rsidR="005316BE">
        <w:t>announced</w:t>
      </w:r>
      <w:proofErr w:type="gramEnd"/>
      <w:r w:rsidRPr="00EE2D4E">
        <w:t xml:space="preserve"> on July 20, 2020 after</w:t>
      </w:r>
      <w:r w:rsidR="00D371EF">
        <w:t xml:space="preserve"> </w:t>
      </w:r>
      <w:r w:rsidR="00587F5C">
        <w:t>4</w:t>
      </w:r>
      <w:r w:rsidRPr="00EE2D4E">
        <w:t>:00</w:t>
      </w:r>
      <w:r w:rsidR="00587F5C">
        <w:t xml:space="preserve"> pm</w:t>
      </w:r>
      <w:r w:rsidRPr="00EE2D4E">
        <w:t>, and for the autumn ter</w:t>
      </w:r>
      <w:r w:rsidR="00587F5C">
        <w:t>m on September 17, 2020 after 4</w:t>
      </w:r>
      <w:r w:rsidRPr="00EE2D4E">
        <w:t>:00</w:t>
      </w:r>
      <w:r w:rsidR="00587F5C">
        <w:t xml:space="preserve"> pm</w:t>
      </w:r>
      <w:r w:rsidRPr="00EE2D4E">
        <w:t>.</w:t>
      </w:r>
    </w:p>
    <w:p w:rsidR="00EE2D4E" w:rsidRPr="00EE2D4E" w:rsidRDefault="00EE2D4E" w:rsidP="00D371EF">
      <w:pPr>
        <w:pStyle w:val="BodyText"/>
        <w:tabs>
          <w:tab w:val="left" w:pos="269"/>
        </w:tabs>
        <w:spacing w:after="0" w:line="262" w:lineRule="auto"/>
      </w:pPr>
      <w:r w:rsidRPr="00EE2D4E">
        <w:t xml:space="preserve">Once </w:t>
      </w:r>
      <w:r w:rsidR="005316BE">
        <w:t>announced</w:t>
      </w:r>
      <w:bookmarkStart w:id="67" w:name="_GoBack"/>
      <w:bookmarkEnd w:id="67"/>
      <w:r w:rsidR="00587F5C">
        <w:t>,</w:t>
      </w:r>
      <w:r w:rsidRPr="00EE2D4E">
        <w:t xml:space="preserve"> the final rankings are immutable.</w:t>
      </w:r>
    </w:p>
    <w:p w:rsidR="00EE2D4E" w:rsidRPr="00EE2D4E" w:rsidRDefault="00EE2D4E" w:rsidP="00D371EF">
      <w:pPr>
        <w:pStyle w:val="BodyText"/>
        <w:tabs>
          <w:tab w:val="left" w:pos="269"/>
        </w:tabs>
        <w:spacing w:after="0" w:line="262" w:lineRule="auto"/>
      </w:pPr>
      <w:r w:rsidRPr="00EE2D4E">
        <w:t>After the publication of the final ranking lists, the candidate can enroll only in</w:t>
      </w:r>
      <w:r w:rsidR="00587F5C">
        <w:t>to</w:t>
      </w:r>
      <w:r w:rsidRPr="00EE2D4E">
        <w:t xml:space="preserve"> the stu</w:t>
      </w:r>
      <w:r w:rsidR="003F0F17">
        <w:t>dy program for</w:t>
      </w:r>
      <w:r w:rsidR="00D371EF">
        <w:t xml:space="preserve"> which </w:t>
      </w:r>
      <w:r w:rsidR="00587F5C">
        <w:t>s/</w:t>
      </w:r>
      <w:proofErr w:type="gramStart"/>
      <w:r w:rsidR="00587F5C">
        <w:t xml:space="preserve">he </w:t>
      </w:r>
      <w:r w:rsidR="00D371EF">
        <w:t xml:space="preserve"> </w:t>
      </w:r>
      <w:r w:rsidR="00587F5C">
        <w:t>exercises</w:t>
      </w:r>
      <w:proofErr w:type="gramEnd"/>
      <w:r w:rsidRPr="00EE2D4E">
        <w:t xml:space="preserve"> the right to enroll </w:t>
      </w:r>
      <w:r w:rsidR="003F0F17">
        <w:t xml:space="preserve">into </w:t>
      </w:r>
      <w:r w:rsidRPr="00EE2D4E">
        <w:t xml:space="preserve">and </w:t>
      </w:r>
      <w:r w:rsidR="00587F5C">
        <w:t xml:space="preserve">for which s/he has </w:t>
      </w:r>
      <w:r w:rsidRPr="00EE2D4E">
        <w:t>received an en</w:t>
      </w:r>
      <w:r w:rsidR="00587F5C">
        <w:t>rollment number. By receiving the</w:t>
      </w:r>
      <w:r w:rsidRPr="00EE2D4E">
        <w:t xml:space="preserve"> enrollment number for a specif</w:t>
      </w:r>
      <w:r w:rsidR="00D371EF">
        <w:t xml:space="preserve">ic study program, </w:t>
      </w:r>
      <w:r w:rsidRPr="00EE2D4E">
        <w:t>the candidate</w:t>
      </w:r>
      <w:r w:rsidR="00587F5C">
        <w:t xml:space="preserve"> </w:t>
      </w:r>
      <w:proofErr w:type="gramStart"/>
      <w:r w:rsidR="00587F5C">
        <w:t>is obliged</w:t>
      </w:r>
      <w:proofErr w:type="gramEnd"/>
      <w:r w:rsidRPr="00EE2D4E">
        <w:t xml:space="preserve"> to enroll in</w:t>
      </w:r>
      <w:r w:rsidR="003F0F17">
        <w:t>to</w:t>
      </w:r>
      <w:r w:rsidRPr="00EE2D4E">
        <w:t xml:space="preserve"> that study program.</w:t>
      </w:r>
    </w:p>
    <w:p w:rsidR="00EE2D4E" w:rsidRPr="00EE2D4E" w:rsidRDefault="00EE2D4E" w:rsidP="00D371EF">
      <w:pPr>
        <w:pStyle w:val="BodyText"/>
        <w:tabs>
          <w:tab w:val="left" w:pos="269"/>
        </w:tabs>
        <w:spacing w:after="0" w:line="262" w:lineRule="auto"/>
      </w:pPr>
      <w:r w:rsidRPr="00EE2D4E">
        <w:t xml:space="preserve">After realizing the right to enroll, </w:t>
      </w:r>
      <w:r w:rsidR="00587F5C">
        <w:t>a candidate can obtain</w:t>
      </w:r>
      <w:r w:rsidRPr="00EE2D4E">
        <w:t xml:space="preserve"> further information on the enrollment in</w:t>
      </w:r>
      <w:r w:rsidR="00587F5C">
        <w:t>to</w:t>
      </w:r>
      <w:r w:rsidRPr="00EE2D4E">
        <w:t xml:space="preserve"> the desired study</w:t>
      </w:r>
      <w:r w:rsidR="00587F5C">
        <w:t xml:space="preserve"> program</w:t>
      </w:r>
      <w:r w:rsidRPr="00EE2D4E">
        <w:t xml:space="preserve"> </w:t>
      </w:r>
      <w:r w:rsidR="00587F5C">
        <w:t xml:space="preserve">by </w:t>
      </w:r>
      <w:r w:rsidRPr="00EE2D4E">
        <w:t>contact</w:t>
      </w:r>
      <w:r w:rsidR="00587F5C">
        <w:t>ing</w:t>
      </w:r>
      <w:r w:rsidRPr="00EE2D4E">
        <w:t xml:space="preserve"> the higher education institution directly or </w:t>
      </w:r>
      <w:r w:rsidR="00587F5C">
        <w:t xml:space="preserve">by visiting </w:t>
      </w:r>
      <w:r w:rsidRPr="00EE2D4E">
        <w:t>the higher education institution's website.</w:t>
      </w:r>
    </w:p>
    <w:p w:rsidR="00EE2D4E" w:rsidRDefault="00EE2D4E" w:rsidP="00EE2D4E">
      <w:pPr>
        <w:pStyle w:val="BodyText"/>
        <w:tabs>
          <w:tab w:val="left" w:pos="310"/>
        </w:tabs>
        <w:spacing w:after="0" w:line="262" w:lineRule="auto"/>
      </w:pPr>
    </w:p>
    <w:p w:rsidR="000272BD" w:rsidRDefault="00F84124">
      <w:pPr>
        <w:pStyle w:val="Heading30"/>
        <w:keepNext/>
        <w:keepLines/>
        <w:numPr>
          <w:ilvl w:val="0"/>
          <w:numId w:val="9"/>
        </w:numPr>
        <w:tabs>
          <w:tab w:val="left" w:pos="315"/>
        </w:tabs>
        <w:spacing w:after="0" w:line="262" w:lineRule="auto"/>
      </w:pPr>
      <w:bookmarkStart w:id="68" w:name="bookmark73"/>
      <w:bookmarkStart w:id="69" w:name="bookmark71"/>
      <w:bookmarkStart w:id="70" w:name="bookmark72"/>
      <w:bookmarkStart w:id="71" w:name="bookmark74"/>
      <w:bookmarkEnd w:id="68"/>
      <w:r>
        <w:t>ENROLLMENT</w:t>
      </w:r>
      <w:bookmarkEnd w:id="69"/>
      <w:bookmarkEnd w:id="70"/>
      <w:bookmarkEnd w:id="71"/>
    </w:p>
    <w:p w:rsidR="000272BD" w:rsidRDefault="00F84124">
      <w:pPr>
        <w:pStyle w:val="BodyText"/>
        <w:spacing w:after="260" w:line="262" w:lineRule="auto"/>
      </w:pPr>
      <w:r>
        <w:t>Enrollment</w:t>
      </w:r>
      <w:r w:rsidR="00C5580A">
        <w:t xml:space="preserve"> based on the results of the first</w:t>
      </w:r>
      <w:r>
        <w:t xml:space="preserve"> classification process will be possible </w:t>
      </w:r>
      <w:r w:rsidR="00D371EF">
        <w:t>from</w:t>
      </w:r>
      <w:r>
        <w:t xml:space="preserve"> </w:t>
      </w:r>
      <w:r w:rsidR="00D371EF">
        <w:t>July</w:t>
      </w:r>
      <w:r>
        <w:t xml:space="preserve"> </w:t>
      </w:r>
      <w:r w:rsidR="00D371EF">
        <w:t xml:space="preserve">22 </w:t>
      </w:r>
      <w:r w:rsidR="00587F5C">
        <w:t>to</w:t>
      </w:r>
      <w:r w:rsidR="00C5580A">
        <w:t xml:space="preserve"> July 28</w:t>
      </w:r>
      <w:r>
        <w:t xml:space="preserve"> in accordance with the published schedule. The schedule (order of enrollment) </w:t>
      </w:r>
      <w:proofErr w:type="gramStart"/>
      <w:r>
        <w:t xml:space="preserve">will be </w:t>
      </w:r>
      <w:r w:rsidR="003F0F17">
        <w:t>announced</w:t>
      </w:r>
      <w:proofErr w:type="gramEnd"/>
      <w:r>
        <w:t xml:space="preserve"> alongside the ranking list on the Faculty's bulletin board and </w:t>
      </w:r>
      <w:r w:rsidR="00A57947">
        <w:t xml:space="preserve">on </w:t>
      </w:r>
      <w:r>
        <w:t>the Faculty's websit</w:t>
      </w:r>
      <w:hyperlink r:id="rId12" w:history="1">
        <w:r>
          <w:t xml:space="preserve">e </w:t>
        </w:r>
        <w:r>
          <w:rPr>
            <w:b/>
            <w:bCs/>
            <w:u w:val="single"/>
          </w:rPr>
          <w:t>www.efri.uniri.hr</w:t>
        </w:r>
        <w:r>
          <w:rPr>
            <w:b/>
            <w:bCs/>
          </w:rPr>
          <w:t>.</w:t>
        </w:r>
      </w:hyperlink>
    </w:p>
    <w:p w:rsidR="000272BD" w:rsidRDefault="00F84124">
      <w:pPr>
        <w:pStyle w:val="Heading30"/>
        <w:keepNext/>
        <w:keepLines/>
        <w:spacing w:after="0" w:line="262" w:lineRule="auto"/>
      </w:pPr>
      <w:bookmarkStart w:id="72" w:name="bookmark75"/>
      <w:bookmarkStart w:id="73" w:name="bookmark76"/>
      <w:bookmarkStart w:id="74" w:name="bookmark77"/>
      <w:r>
        <w:rPr>
          <w:u w:val="single"/>
        </w:rPr>
        <w:t>Documentation needed for admission</w:t>
      </w:r>
      <w:bookmarkEnd w:id="72"/>
      <w:bookmarkEnd w:id="73"/>
      <w:bookmarkEnd w:id="74"/>
    </w:p>
    <w:p w:rsidR="000272BD" w:rsidRDefault="00F84124">
      <w:pPr>
        <w:pStyle w:val="BodyText"/>
        <w:numPr>
          <w:ilvl w:val="0"/>
          <w:numId w:val="3"/>
        </w:numPr>
        <w:tabs>
          <w:tab w:val="left" w:pos="269"/>
        </w:tabs>
        <w:spacing w:after="0" w:line="262" w:lineRule="auto"/>
      </w:pPr>
      <w:bookmarkStart w:id="75" w:name="bookmark78"/>
      <w:bookmarkEnd w:id="75"/>
      <w:r>
        <w:t>Registration form (available at the Faculty's front desk)</w:t>
      </w:r>
    </w:p>
    <w:p w:rsidR="00951577" w:rsidRDefault="00F84124" w:rsidP="00951577">
      <w:pPr>
        <w:pStyle w:val="BodyText"/>
        <w:numPr>
          <w:ilvl w:val="0"/>
          <w:numId w:val="3"/>
        </w:numPr>
        <w:tabs>
          <w:tab w:val="left" w:pos="264"/>
        </w:tabs>
        <w:spacing w:after="260" w:line="262" w:lineRule="auto"/>
      </w:pPr>
      <w:bookmarkStart w:id="76" w:name="bookmark79"/>
      <w:bookmarkEnd w:id="76"/>
      <w:r>
        <w:t xml:space="preserve">Certificate of residence (full-time </w:t>
      </w:r>
      <w:r w:rsidR="00C5580A">
        <w:t xml:space="preserve">students </w:t>
      </w:r>
      <w:r>
        <w:t xml:space="preserve">not coming from </w:t>
      </w:r>
      <w:proofErr w:type="spellStart"/>
      <w:r>
        <w:t>Primor</w:t>
      </w:r>
      <w:r w:rsidR="00C5580A">
        <w:t>je-Gorski</w:t>
      </w:r>
      <w:proofErr w:type="spellEnd"/>
      <w:r w:rsidR="00C5580A">
        <w:t xml:space="preserve"> </w:t>
      </w:r>
      <w:proofErr w:type="spellStart"/>
      <w:r w:rsidR="00C5580A">
        <w:t>Kotar</w:t>
      </w:r>
      <w:proofErr w:type="spellEnd"/>
      <w:r w:rsidR="00C5580A">
        <w:t xml:space="preserve"> </w:t>
      </w:r>
      <w:r>
        <w:t>County)</w:t>
      </w:r>
      <w:bookmarkStart w:id="77" w:name="bookmark80"/>
      <w:bookmarkEnd w:id="77"/>
    </w:p>
    <w:p w:rsidR="000272BD" w:rsidRDefault="00F84124" w:rsidP="00951577">
      <w:pPr>
        <w:pStyle w:val="BodyText"/>
        <w:numPr>
          <w:ilvl w:val="0"/>
          <w:numId w:val="3"/>
        </w:numPr>
        <w:tabs>
          <w:tab w:val="left" w:pos="264"/>
        </w:tabs>
        <w:spacing w:after="260" w:line="262" w:lineRule="auto"/>
      </w:pPr>
      <w:r>
        <w:t>Two photographs 4 x 6</w:t>
      </w:r>
    </w:p>
    <w:p w:rsidR="000272BD" w:rsidRDefault="00F84124">
      <w:pPr>
        <w:pStyle w:val="BodyText"/>
        <w:numPr>
          <w:ilvl w:val="0"/>
          <w:numId w:val="3"/>
        </w:numPr>
        <w:tabs>
          <w:tab w:val="left" w:pos="264"/>
        </w:tabs>
        <w:spacing w:after="520" w:line="257" w:lineRule="auto"/>
      </w:pPr>
      <w:bookmarkStart w:id="78" w:name="bookmark81"/>
      <w:bookmarkEnd w:id="78"/>
      <w:r>
        <w:t>Payment slip confirming the payment of enrollment costs (full-time and part-time students) and tuition (full-time students enrolling the International Business track taught in English and part-time students)</w:t>
      </w:r>
    </w:p>
    <w:p w:rsidR="000272BD" w:rsidRDefault="00F84124">
      <w:pPr>
        <w:pStyle w:val="Tablecaption0"/>
        <w:ind w:left="562"/>
      </w:pPr>
      <w:r>
        <w:t>Enrollment costs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50"/>
        <w:gridCol w:w="2366"/>
      </w:tblGrid>
      <w:tr w:rsidR="000272BD">
        <w:trPr>
          <w:trHeight w:hRule="exact" w:val="288"/>
          <w:jc w:val="center"/>
        </w:trPr>
        <w:tc>
          <w:tcPr>
            <w:tcW w:w="6950" w:type="dxa"/>
            <w:tcBorders>
              <w:top w:val="single" w:sz="4" w:space="0" w:color="auto"/>
              <w:left w:val="single" w:sz="4" w:space="0" w:color="auto"/>
            </w:tcBorders>
            <w:shd w:val="clear" w:color="auto" w:fill="FFFFFF"/>
            <w:vAlign w:val="bottom"/>
          </w:tcPr>
          <w:p w:rsidR="000272BD" w:rsidRDefault="00F84124">
            <w:pPr>
              <w:pStyle w:val="Other0"/>
              <w:spacing w:after="0"/>
              <w:ind w:firstLine="580"/>
            </w:pPr>
            <w:r>
              <w:rPr>
                <w:b/>
                <w:bCs/>
              </w:rPr>
              <w:t>Payment for (under “</w:t>
            </w:r>
            <w:proofErr w:type="spellStart"/>
            <w:r>
              <w:rPr>
                <w:b/>
                <w:bCs/>
              </w:rPr>
              <w:t>Svrha</w:t>
            </w:r>
            <w:proofErr w:type="spellEnd"/>
            <w:r>
              <w:rPr>
                <w:b/>
                <w:bCs/>
              </w:rPr>
              <w:t xml:space="preserve"> </w:t>
            </w:r>
            <w:proofErr w:type="spellStart"/>
            <w:r>
              <w:rPr>
                <w:b/>
                <w:bCs/>
              </w:rPr>
              <w:t>uplate</w:t>
            </w:r>
            <w:proofErr w:type="spellEnd"/>
            <w:r>
              <w:rPr>
                <w:b/>
                <w:bCs/>
              </w:rPr>
              <w:t>”)</w:t>
            </w:r>
          </w:p>
        </w:tc>
        <w:tc>
          <w:tcPr>
            <w:tcW w:w="2366" w:type="dxa"/>
            <w:tcBorders>
              <w:top w:val="single" w:sz="4" w:space="0" w:color="auto"/>
              <w:left w:val="single" w:sz="4" w:space="0" w:color="auto"/>
              <w:right w:val="single" w:sz="4" w:space="0" w:color="auto"/>
            </w:tcBorders>
            <w:shd w:val="clear" w:color="auto" w:fill="FFFFFF"/>
            <w:vAlign w:val="bottom"/>
          </w:tcPr>
          <w:p w:rsidR="000272BD" w:rsidRDefault="00F84124">
            <w:pPr>
              <w:pStyle w:val="Other0"/>
              <w:spacing w:after="0"/>
              <w:ind w:firstLine="280"/>
              <w:jc w:val="both"/>
            </w:pPr>
            <w:r>
              <w:rPr>
                <w:b/>
                <w:bCs/>
              </w:rPr>
              <w:t>Amount (in HRK)</w:t>
            </w:r>
          </w:p>
        </w:tc>
      </w:tr>
      <w:tr w:rsidR="000272BD">
        <w:trPr>
          <w:trHeight w:hRule="exact" w:val="547"/>
          <w:jc w:val="center"/>
        </w:trPr>
        <w:tc>
          <w:tcPr>
            <w:tcW w:w="6950" w:type="dxa"/>
            <w:tcBorders>
              <w:top w:val="single" w:sz="4" w:space="0" w:color="auto"/>
              <w:left w:val="single" w:sz="4" w:space="0" w:color="auto"/>
            </w:tcBorders>
            <w:shd w:val="clear" w:color="auto" w:fill="FFFFFF"/>
            <w:vAlign w:val="bottom"/>
          </w:tcPr>
          <w:p w:rsidR="000272BD" w:rsidRDefault="00F84124">
            <w:pPr>
              <w:pStyle w:val="Other0"/>
              <w:spacing w:after="0"/>
              <w:ind w:firstLine="580"/>
            </w:pPr>
            <w:r>
              <w:t>ENROLLMENT FEE + insurance</w:t>
            </w:r>
          </w:p>
          <w:p w:rsidR="000272BD" w:rsidRDefault="00F84124">
            <w:pPr>
              <w:pStyle w:val="Other0"/>
              <w:spacing w:after="0"/>
              <w:ind w:firstLine="580"/>
            </w:pPr>
            <w:r>
              <w:t>(to be paid by all part-time and full-time students)</w:t>
            </w:r>
          </w:p>
        </w:tc>
        <w:tc>
          <w:tcPr>
            <w:tcW w:w="2366" w:type="dxa"/>
            <w:tcBorders>
              <w:top w:val="single" w:sz="4" w:space="0" w:color="auto"/>
              <w:left w:val="single" w:sz="4" w:space="0" w:color="auto"/>
              <w:right w:val="single" w:sz="4" w:space="0" w:color="auto"/>
            </w:tcBorders>
            <w:shd w:val="clear" w:color="auto" w:fill="FFFFFF"/>
          </w:tcPr>
          <w:p w:rsidR="000272BD" w:rsidRDefault="00F84124">
            <w:pPr>
              <w:pStyle w:val="Other0"/>
              <w:spacing w:after="0"/>
              <w:ind w:firstLine="780"/>
            </w:pPr>
            <w:r>
              <w:t>400.00</w:t>
            </w:r>
          </w:p>
        </w:tc>
      </w:tr>
      <w:tr w:rsidR="000272BD">
        <w:trPr>
          <w:trHeight w:hRule="exact" w:val="278"/>
          <w:jc w:val="center"/>
        </w:trPr>
        <w:tc>
          <w:tcPr>
            <w:tcW w:w="6950" w:type="dxa"/>
            <w:tcBorders>
              <w:top w:val="single" w:sz="4" w:space="0" w:color="auto"/>
              <w:left w:val="single" w:sz="4" w:space="0" w:color="auto"/>
            </w:tcBorders>
            <w:shd w:val="clear" w:color="auto" w:fill="FFFFFF"/>
            <w:vAlign w:val="bottom"/>
          </w:tcPr>
          <w:p w:rsidR="000272BD" w:rsidRDefault="00F84124">
            <w:pPr>
              <w:pStyle w:val="Other0"/>
              <w:spacing w:after="0"/>
              <w:ind w:firstLine="580"/>
            </w:pPr>
            <w:r>
              <w:t>TUITION for part-time studies</w:t>
            </w:r>
          </w:p>
        </w:tc>
        <w:tc>
          <w:tcPr>
            <w:tcW w:w="2366" w:type="dxa"/>
            <w:tcBorders>
              <w:top w:val="single" w:sz="4" w:space="0" w:color="auto"/>
              <w:left w:val="single" w:sz="4" w:space="0" w:color="auto"/>
              <w:right w:val="single" w:sz="4" w:space="0" w:color="auto"/>
            </w:tcBorders>
            <w:shd w:val="clear" w:color="auto" w:fill="FFFFFF"/>
            <w:vAlign w:val="bottom"/>
          </w:tcPr>
          <w:p w:rsidR="000272BD" w:rsidRDefault="00F84124">
            <w:pPr>
              <w:pStyle w:val="Other0"/>
              <w:spacing w:after="0"/>
              <w:ind w:firstLine="720"/>
            </w:pPr>
            <w:r>
              <w:t>5,500.00</w:t>
            </w:r>
          </w:p>
        </w:tc>
      </w:tr>
      <w:tr w:rsidR="000272BD">
        <w:trPr>
          <w:trHeight w:hRule="exact" w:val="634"/>
          <w:jc w:val="center"/>
        </w:trPr>
        <w:tc>
          <w:tcPr>
            <w:tcW w:w="6950" w:type="dxa"/>
            <w:tcBorders>
              <w:top w:val="single" w:sz="4" w:space="0" w:color="auto"/>
              <w:left w:val="single" w:sz="4" w:space="0" w:color="auto"/>
              <w:bottom w:val="single" w:sz="4" w:space="0" w:color="auto"/>
            </w:tcBorders>
            <w:shd w:val="clear" w:color="auto" w:fill="FFFFFF"/>
            <w:vAlign w:val="center"/>
          </w:tcPr>
          <w:p w:rsidR="000272BD" w:rsidRDefault="00F84124">
            <w:pPr>
              <w:pStyle w:val="Other0"/>
              <w:spacing w:after="0"/>
              <w:ind w:left="580"/>
            </w:pPr>
            <w:r>
              <w:t>TUITION for full-time studies in International Bu</w:t>
            </w:r>
            <w:r w:rsidR="00C5580A">
              <w:t>siness taught in English (for CRO</w:t>
            </w:r>
            <w:r>
              <w:t xml:space="preserve"> / EU students)</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bottom"/>
          </w:tcPr>
          <w:p w:rsidR="000272BD" w:rsidRDefault="00F84124">
            <w:pPr>
              <w:pStyle w:val="Other0"/>
              <w:spacing w:after="0"/>
              <w:ind w:firstLine="720"/>
            </w:pPr>
            <w:r>
              <w:t>8,000.00</w:t>
            </w:r>
          </w:p>
        </w:tc>
      </w:tr>
    </w:tbl>
    <w:p w:rsidR="000272BD" w:rsidRDefault="000272BD">
      <w:pPr>
        <w:spacing w:after="519" w:line="1" w:lineRule="exact"/>
      </w:pPr>
    </w:p>
    <w:p w:rsidR="000272BD" w:rsidRDefault="00F84124">
      <w:pPr>
        <w:pStyle w:val="Heading30"/>
        <w:keepNext/>
        <w:keepLines/>
        <w:numPr>
          <w:ilvl w:val="0"/>
          <w:numId w:val="9"/>
        </w:numPr>
        <w:tabs>
          <w:tab w:val="left" w:pos="344"/>
        </w:tabs>
        <w:spacing w:after="0" w:line="240" w:lineRule="auto"/>
      </w:pPr>
      <w:bookmarkStart w:id="79" w:name="bookmark84"/>
      <w:bookmarkStart w:id="80" w:name="bookmark82"/>
      <w:bookmarkStart w:id="81" w:name="bookmark83"/>
      <w:bookmarkStart w:id="82" w:name="bookmark85"/>
      <w:bookmarkEnd w:id="79"/>
      <w:r>
        <w:rPr>
          <w:u w:val="single"/>
        </w:rPr>
        <w:t>INFORMATION</w:t>
      </w:r>
      <w:bookmarkEnd w:id="80"/>
      <w:bookmarkEnd w:id="81"/>
      <w:bookmarkEnd w:id="82"/>
    </w:p>
    <w:p w:rsidR="000272BD" w:rsidRDefault="00F84124">
      <w:pPr>
        <w:pStyle w:val="BodyText"/>
        <w:spacing w:after="448"/>
      </w:pPr>
      <w:proofErr w:type="gramStart"/>
      <w:r>
        <w:t>More detailed information on enrollment</w:t>
      </w:r>
      <w:proofErr w:type="gramEnd"/>
      <w:r>
        <w:t xml:space="preserve"> is available at the Faculty's website</w:t>
      </w:r>
      <w:hyperlink r:id="rId13" w:history="1">
        <w:r>
          <w:t xml:space="preserve"> </w:t>
        </w:r>
        <w:r>
          <w:rPr>
            <w:color w:val="0000FF"/>
            <w:u w:val="single"/>
          </w:rPr>
          <w:t>www.efri.uniri.hr</w:t>
        </w:r>
        <w:r>
          <w:t>.</w:t>
        </w:r>
      </w:hyperlink>
    </w:p>
    <w:p w:rsidR="000272BD" w:rsidRDefault="00F84124">
      <w:pPr>
        <w:pStyle w:val="BodyText"/>
        <w:pBdr>
          <w:top w:val="single" w:sz="4" w:space="4" w:color="01B0F1"/>
          <w:left w:val="single" w:sz="4" w:space="0" w:color="01B0F1"/>
          <w:bottom w:val="single" w:sz="4" w:space="4" w:color="01B0F1"/>
          <w:right w:val="single" w:sz="4" w:space="0" w:color="01B0F1"/>
        </w:pBdr>
        <w:shd w:val="clear" w:color="auto" w:fill="01B0F1"/>
        <w:spacing w:after="0"/>
      </w:pPr>
      <w:r>
        <w:rPr>
          <w:b/>
          <w:bCs/>
        </w:rPr>
        <w:t>ADDITIONAL INFORMATION</w:t>
      </w:r>
    </w:p>
    <w:p w:rsidR="000272BD" w:rsidRDefault="00F84124">
      <w:pPr>
        <w:pStyle w:val="BodyText"/>
        <w:pBdr>
          <w:top w:val="single" w:sz="4" w:space="4" w:color="01B0F1"/>
          <w:left w:val="single" w:sz="4" w:space="0" w:color="01B0F1"/>
          <w:bottom w:val="single" w:sz="4" w:space="4" w:color="01B0F1"/>
          <w:right w:val="single" w:sz="4" w:space="0" w:color="01B0F1"/>
        </w:pBdr>
        <w:shd w:val="clear" w:color="auto" w:fill="01B0F1"/>
        <w:spacing w:after="0"/>
      </w:pPr>
      <w:r>
        <w:rPr>
          <w:b/>
          <w:bCs/>
        </w:rPr>
        <w:t>International office:</w:t>
      </w:r>
    </w:p>
    <w:p w:rsidR="000272BD" w:rsidRDefault="00F84124">
      <w:pPr>
        <w:pStyle w:val="BodyText"/>
        <w:pBdr>
          <w:top w:val="single" w:sz="4" w:space="4" w:color="01B0F1"/>
          <w:left w:val="single" w:sz="4" w:space="0" w:color="01B0F1"/>
          <w:bottom w:val="single" w:sz="4" w:space="4" w:color="01B0F1"/>
          <w:right w:val="single" w:sz="4" w:space="0" w:color="01B0F1"/>
        </w:pBdr>
        <w:shd w:val="clear" w:color="auto" w:fill="01B0F1"/>
        <w:spacing w:after="0"/>
      </w:pPr>
      <w:r>
        <w:rPr>
          <w:b/>
          <w:bCs/>
        </w:rPr>
        <w:t xml:space="preserve">Marko </w:t>
      </w:r>
      <w:proofErr w:type="spellStart"/>
      <w:r>
        <w:rPr>
          <w:b/>
          <w:bCs/>
        </w:rPr>
        <w:t>Donadić</w:t>
      </w:r>
      <w:proofErr w:type="spellEnd"/>
      <w:r>
        <w:rPr>
          <w:b/>
          <w:bCs/>
        </w:rPr>
        <w:t>,</w:t>
      </w:r>
      <w:hyperlink r:id="rId14" w:history="1">
        <w:r>
          <w:rPr>
            <w:b/>
            <w:bCs/>
          </w:rPr>
          <w:t xml:space="preserve"> </w:t>
        </w:r>
        <w:r>
          <w:rPr>
            <w:b/>
            <w:bCs/>
            <w:color w:val="0000FF"/>
            <w:u w:val="single"/>
          </w:rPr>
          <w:t>marko.donadic@efri.hr</w:t>
        </w:r>
      </w:hyperlink>
    </w:p>
    <w:p w:rsidR="000272BD" w:rsidRDefault="00F84124">
      <w:pPr>
        <w:pStyle w:val="BodyText"/>
        <w:pBdr>
          <w:top w:val="single" w:sz="4" w:space="4" w:color="01B0F1"/>
          <w:left w:val="single" w:sz="4" w:space="0" w:color="01B0F1"/>
          <w:bottom w:val="single" w:sz="4" w:space="4" w:color="01B0F1"/>
          <w:right w:val="single" w:sz="4" w:space="0" w:color="01B0F1"/>
        </w:pBdr>
        <w:shd w:val="clear" w:color="auto" w:fill="01B0F1"/>
        <w:spacing w:after="0"/>
      </w:pPr>
      <w:r>
        <w:rPr>
          <w:b/>
          <w:bCs/>
        </w:rPr>
        <w:t>+385 51 355 118</w:t>
      </w:r>
    </w:p>
    <w:p w:rsidR="000272BD" w:rsidRDefault="00F84124">
      <w:pPr>
        <w:pStyle w:val="BodyText"/>
        <w:pBdr>
          <w:top w:val="single" w:sz="4" w:space="4" w:color="01B0F1"/>
          <w:left w:val="single" w:sz="4" w:space="0" w:color="01B0F1"/>
          <w:bottom w:val="single" w:sz="4" w:space="4" w:color="01B0F1"/>
          <w:right w:val="single" w:sz="4" w:space="0" w:color="01B0F1"/>
        </w:pBdr>
        <w:shd w:val="clear" w:color="auto" w:fill="01B0F1"/>
        <w:spacing w:after="0"/>
      </w:pPr>
      <w:r>
        <w:rPr>
          <w:b/>
          <w:bCs/>
        </w:rPr>
        <w:t>Working Hour</w:t>
      </w:r>
      <w:r w:rsidR="00C5580A">
        <w:rPr>
          <w:b/>
          <w:bCs/>
        </w:rPr>
        <w:t>s:</w:t>
      </w:r>
      <w:r>
        <w:rPr>
          <w:b/>
          <w:bCs/>
        </w:rPr>
        <w:t xml:space="preserve"> 8.00 AM - 03.00 PM</w:t>
      </w:r>
    </w:p>
    <w:p w:rsidR="000272BD" w:rsidRDefault="00C5580A">
      <w:pPr>
        <w:pStyle w:val="BodyText"/>
        <w:pBdr>
          <w:top w:val="single" w:sz="4" w:space="4" w:color="01B0F1"/>
          <w:left w:val="single" w:sz="4" w:space="0" w:color="01B0F1"/>
          <w:bottom w:val="single" w:sz="4" w:space="4" w:color="01B0F1"/>
          <w:right w:val="single" w:sz="4" w:space="0" w:color="01B0F1"/>
        </w:pBdr>
        <w:shd w:val="clear" w:color="auto" w:fill="01B0F1"/>
        <w:spacing w:after="240"/>
      </w:pPr>
      <w:r>
        <w:rPr>
          <w:b/>
          <w:bCs/>
        </w:rPr>
        <w:lastRenderedPageBreak/>
        <w:t xml:space="preserve">(Please </w:t>
      </w:r>
      <w:r w:rsidR="00F84124">
        <w:rPr>
          <w:b/>
          <w:bCs/>
        </w:rPr>
        <w:t>phone our office if you would like to set up an appointment.)</w:t>
      </w:r>
    </w:p>
    <w:p w:rsidR="000272BD" w:rsidRDefault="00F84124">
      <w:pPr>
        <w:pStyle w:val="BodyText"/>
        <w:pBdr>
          <w:top w:val="single" w:sz="4" w:space="4" w:color="01B0F1"/>
          <w:left w:val="single" w:sz="4" w:space="0" w:color="01B0F1"/>
          <w:bottom w:val="single" w:sz="4" w:space="4" w:color="01B0F1"/>
          <w:right w:val="single" w:sz="4" w:space="0" w:color="01B0F1"/>
        </w:pBdr>
        <w:shd w:val="clear" w:color="auto" w:fill="01B0F1"/>
        <w:spacing w:after="0"/>
      </w:pPr>
      <w:r>
        <w:rPr>
          <w:b/>
          <w:bCs/>
        </w:rPr>
        <w:t xml:space="preserve">Original text of the Call is only valid and available: </w:t>
      </w:r>
      <w:hyperlink r:id="rId15" w:history="1">
        <w:r>
          <w:rPr>
            <w:b/>
            <w:bCs/>
            <w:color w:val="0000FF"/>
            <w:u w:val="single"/>
          </w:rPr>
          <w:t>https://www.efri.uniri.hr/upload/Diplomski%20studij/12.07.31%20NATJECAJ%20DS%202019 2020%20odlu</w:t>
        </w:r>
      </w:hyperlink>
      <w:r>
        <w:rPr>
          <w:b/>
          <w:bCs/>
          <w:color w:val="0000FF"/>
          <w:u w:val="single"/>
        </w:rPr>
        <w:t xml:space="preserve"> </w:t>
      </w:r>
      <w:hyperlink r:id="rId16" w:history="1">
        <w:proofErr w:type="gramStart"/>
        <w:r>
          <w:rPr>
            <w:b/>
            <w:bCs/>
            <w:color w:val="0000FF"/>
            <w:u w:val="single"/>
          </w:rPr>
          <w:t>ka%20i</w:t>
        </w:r>
        <w:proofErr w:type="gramEnd"/>
        <w:r>
          <w:rPr>
            <w:b/>
            <w:bCs/>
            <w:color w:val="0000FF"/>
            <w:u w:val="single"/>
          </w:rPr>
          <w:t>%20natjecaj.pdf</w:t>
        </w:r>
      </w:hyperlink>
    </w:p>
    <w:sectPr w:rsidR="000272BD">
      <w:pgSz w:w="11900" w:h="16840"/>
      <w:pgMar w:top="1417" w:right="1246" w:bottom="1198" w:left="1337" w:header="989" w:footer="77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D1" w:rsidRDefault="004835D1">
      <w:r>
        <w:separator/>
      </w:r>
    </w:p>
  </w:endnote>
  <w:endnote w:type="continuationSeparator" w:id="0">
    <w:p w:rsidR="004835D1" w:rsidRDefault="0048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D1" w:rsidRDefault="004835D1"/>
  </w:footnote>
  <w:footnote w:type="continuationSeparator" w:id="0">
    <w:p w:rsidR="004835D1" w:rsidRDefault="004835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FE7"/>
    <w:multiLevelType w:val="multilevel"/>
    <w:tmpl w:val="21B805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227CF"/>
    <w:multiLevelType w:val="multilevel"/>
    <w:tmpl w:val="C4F20152"/>
    <w:lvl w:ilvl="0">
      <w:start w:val="1"/>
      <w:numFmt w:val="decimal"/>
      <w:lvlText w:val="(%1)"/>
      <w:lvlJc w:val="left"/>
      <w:rPr>
        <w:rFonts w:ascii="Calibri" w:eastAsia="Calibri" w:hAnsi="Calibri" w:cs="Calibri"/>
        <w:b w:val="0"/>
        <w:bCs w:val="0"/>
        <w:i w:val="0"/>
        <w:iCs w:val="0"/>
        <w:smallCaps w:val="0"/>
        <w:strike w:val="0"/>
        <w:color w:val="0033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9766D"/>
    <w:multiLevelType w:val="multilevel"/>
    <w:tmpl w:val="FB48B736"/>
    <w:lvl w:ilvl="0">
      <w:start w:val="1"/>
      <w:numFmt w:val="decimal"/>
      <w:lvlText w:val="%1."/>
      <w:lvlJc w:val="left"/>
      <w:rPr>
        <w:rFonts w:ascii="Calibri" w:eastAsia="Calibri" w:hAnsi="Calibri" w:cs="Calibri"/>
        <w:b/>
        <w:bCs/>
        <w:i w:val="0"/>
        <w:iCs w:val="0"/>
        <w:smallCaps w:val="0"/>
        <w:strike w:val="0"/>
        <w:color w:val="003366"/>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B415F2"/>
    <w:multiLevelType w:val="multilevel"/>
    <w:tmpl w:val="4A727A58"/>
    <w:lvl w:ilvl="0">
      <w:start w:val="1"/>
      <w:numFmt w:val="lowerLetter"/>
      <w:lvlText w:val="%1)"/>
      <w:lvlJc w:val="left"/>
      <w:rPr>
        <w:rFonts w:ascii="Calibri" w:eastAsia="Calibri" w:hAnsi="Calibri" w:cs="Calibri"/>
        <w:b w:val="0"/>
        <w:bCs w:val="0"/>
        <w:i w:val="0"/>
        <w:iCs w:val="0"/>
        <w:smallCaps w:val="0"/>
        <w:strike w:val="0"/>
        <w:color w:val="0033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901389"/>
    <w:multiLevelType w:val="multilevel"/>
    <w:tmpl w:val="58C29D4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231293"/>
    <w:multiLevelType w:val="multilevel"/>
    <w:tmpl w:val="87DC841A"/>
    <w:lvl w:ilvl="0">
      <w:start w:val="1"/>
      <w:numFmt w:val="bullet"/>
      <w:lvlText w:val="-"/>
      <w:lvlJc w:val="left"/>
      <w:rPr>
        <w:rFonts w:ascii="Calibri" w:eastAsia="Calibri" w:hAnsi="Calibri" w:cs="Calibri"/>
        <w:b w:val="0"/>
        <w:bCs w:val="0"/>
        <w:i w:val="0"/>
        <w:iCs w:val="0"/>
        <w:smallCaps w:val="0"/>
        <w:strike w:val="0"/>
        <w:color w:val="0033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F8688D"/>
    <w:multiLevelType w:val="multilevel"/>
    <w:tmpl w:val="5FA8032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337981"/>
    <w:multiLevelType w:val="multilevel"/>
    <w:tmpl w:val="18E098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FD308D"/>
    <w:multiLevelType w:val="multilevel"/>
    <w:tmpl w:val="A912A946"/>
    <w:lvl w:ilvl="0">
      <w:start w:val="1"/>
      <w:numFmt w:val="decimal"/>
      <w:lvlText w:val="(%1)"/>
      <w:lvlJc w:val="left"/>
      <w:rPr>
        <w:rFonts w:ascii="Calibri" w:eastAsia="Calibri" w:hAnsi="Calibri" w:cs="Calibri"/>
        <w:b w:val="0"/>
        <w:bCs w:val="0"/>
        <w:i w:val="0"/>
        <w:iCs w:val="0"/>
        <w:smallCaps w:val="0"/>
        <w:strike w:val="0"/>
        <w:color w:val="0033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3"/>
  </w:num>
  <w:num w:numId="5">
    <w:abstractNumId w:val="0"/>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BD"/>
    <w:rsid w:val="000272BD"/>
    <w:rsid w:val="003A161A"/>
    <w:rsid w:val="003A4EEF"/>
    <w:rsid w:val="003F0F17"/>
    <w:rsid w:val="004835D1"/>
    <w:rsid w:val="005316BE"/>
    <w:rsid w:val="00587F5C"/>
    <w:rsid w:val="005A29EA"/>
    <w:rsid w:val="00651CB8"/>
    <w:rsid w:val="0068124F"/>
    <w:rsid w:val="007C03F0"/>
    <w:rsid w:val="008E1F5F"/>
    <w:rsid w:val="00951577"/>
    <w:rsid w:val="00951828"/>
    <w:rsid w:val="009B135A"/>
    <w:rsid w:val="00A57947"/>
    <w:rsid w:val="00AB6D45"/>
    <w:rsid w:val="00C5580A"/>
    <w:rsid w:val="00C61B66"/>
    <w:rsid w:val="00C61C01"/>
    <w:rsid w:val="00C63C33"/>
    <w:rsid w:val="00D371EF"/>
    <w:rsid w:val="00DB5D3D"/>
    <w:rsid w:val="00DD7373"/>
    <w:rsid w:val="00E231B3"/>
    <w:rsid w:val="00EE2D4E"/>
    <w:rsid w:val="00EE303A"/>
    <w:rsid w:val="00F64F48"/>
    <w:rsid w:val="00F841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Calibri" w:eastAsia="Calibri" w:hAnsi="Calibri" w:cs="Calibri"/>
      <w:b/>
      <w:bCs/>
      <w:i w:val="0"/>
      <w:iCs w:val="0"/>
      <w:smallCaps w:val="0"/>
      <w:strike w:val="0"/>
      <w:sz w:val="32"/>
      <w:szCs w:val="32"/>
      <w:u w:val="none"/>
      <w:shd w:val="clear" w:color="auto" w:fill="auto"/>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Calibri" w:eastAsia="Calibri" w:hAnsi="Calibri" w:cs="Calibri"/>
      <w:b w:val="0"/>
      <w:bCs w:val="0"/>
      <w:i w:val="0"/>
      <w:iCs w:val="0"/>
      <w:smallCaps w:val="0"/>
      <w:strike w:val="0"/>
      <w:sz w:val="20"/>
      <w:szCs w:val="20"/>
      <w:u w:val="none"/>
      <w:shd w:val="clear" w:color="auto" w:fill="auto"/>
    </w:rPr>
  </w:style>
  <w:style w:type="character" w:customStyle="1" w:styleId="Heading3">
    <w:name w:val="Heading #3_"/>
    <w:basedOn w:val="DefaultParagraphFont"/>
    <w:link w:val="Heading30"/>
    <w:rPr>
      <w:rFonts w:ascii="Calibri" w:eastAsia="Calibri" w:hAnsi="Calibri" w:cs="Calibri"/>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Calibri" w:eastAsia="Calibri" w:hAnsi="Calibri" w:cs="Calibri"/>
      <w:b/>
      <w:bCs/>
      <w:i w:val="0"/>
      <w:iCs w:val="0"/>
      <w:smallCaps w:val="0"/>
      <w:strike w:val="0"/>
      <w:sz w:val="20"/>
      <w:szCs w:val="20"/>
      <w:u w:val="none"/>
      <w:shd w:val="clear" w:color="auto" w:fill="auto"/>
    </w:rPr>
  </w:style>
  <w:style w:type="paragraph" w:styleId="BodyText">
    <w:name w:val="Body Text"/>
    <w:basedOn w:val="Normal"/>
    <w:link w:val="BodyTextChar"/>
    <w:qFormat/>
    <w:pPr>
      <w:spacing w:after="220"/>
    </w:pPr>
    <w:rPr>
      <w:rFonts w:ascii="Calibri" w:eastAsia="Calibri" w:hAnsi="Calibri" w:cs="Calibri"/>
      <w:sz w:val="20"/>
      <w:szCs w:val="20"/>
    </w:rPr>
  </w:style>
  <w:style w:type="paragraph" w:customStyle="1" w:styleId="Heading10">
    <w:name w:val="Heading #1"/>
    <w:basedOn w:val="Normal"/>
    <w:link w:val="Heading1"/>
    <w:pPr>
      <w:jc w:val="center"/>
      <w:outlineLvl w:val="0"/>
    </w:pPr>
    <w:rPr>
      <w:rFonts w:ascii="Calibri" w:eastAsia="Calibri" w:hAnsi="Calibri" w:cs="Calibri"/>
      <w:b/>
      <w:bCs/>
      <w:sz w:val="32"/>
      <w:szCs w:val="32"/>
    </w:rPr>
  </w:style>
  <w:style w:type="paragraph" w:customStyle="1" w:styleId="Heading20">
    <w:name w:val="Heading #2"/>
    <w:basedOn w:val="Normal"/>
    <w:link w:val="Heading2"/>
    <w:pPr>
      <w:spacing w:after="600"/>
      <w:jc w:val="center"/>
      <w:outlineLvl w:val="1"/>
    </w:pPr>
    <w:rPr>
      <w:rFonts w:ascii="Calibri" w:eastAsia="Calibri" w:hAnsi="Calibri" w:cs="Calibri"/>
      <w:b/>
      <w:bCs/>
      <w:sz w:val="28"/>
      <w:szCs w:val="28"/>
    </w:rPr>
  </w:style>
  <w:style w:type="paragraph" w:customStyle="1" w:styleId="Other0">
    <w:name w:val="Other"/>
    <w:basedOn w:val="Normal"/>
    <w:link w:val="Other"/>
    <w:pPr>
      <w:spacing w:after="220"/>
    </w:pPr>
    <w:rPr>
      <w:rFonts w:ascii="Calibri" w:eastAsia="Calibri" w:hAnsi="Calibri" w:cs="Calibri"/>
      <w:sz w:val="20"/>
      <w:szCs w:val="20"/>
    </w:rPr>
  </w:style>
  <w:style w:type="paragraph" w:customStyle="1" w:styleId="Heading30">
    <w:name w:val="Heading #3"/>
    <w:basedOn w:val="Normal"/>
    <w:link w:val="Heading3"/>
    <w:pPr>
      <w:spacing w:after="130" w:line="254" w:lineRule="auto"/>
      <w:outlineLvl w:val="2"/>
    </w:pPr>
    <w:rPr>
      <w:rFonts w:ascii="Calibri" w:eastAsia="Calibri" w:hAnsi="Calibri" w:cs="Calibri"/>
      <w:b/>
      <w:bCs/>
      <w:sz w:val="20"/>
      <w:szCs w:val="20"/>
    </w:rPr>
  </w:style>
  <w:style w:type="paragraph" w:customStyle="1" w:styleId="Tablecaption0">
    <w:name w:val="Table caption"/>
    <w:basedOn w:val="Normal"/>
    <w:link w:val="Tablecaption"/>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A4EEF"/>
    <w:rPr>
      <w:rFonts w:ascii="Tahoma" w:hAnsi="Tahoma" w:cs="Tahoma"/>
      <w:sz w:val="16"/>
      <w:szCs w:val="16"/>
    </w:rPr>
  </w:style>
  <w:style w:type="character" w:customStyle="1" w:styleId="BalloonTextChar">
    <w:name w:val="Balloon Text Char"/>
    <w:basedOn w:val="DefaultParagraphFont"/>
    <w:link w:val="BalloonText"/>
    <w:uiPriority w:val="99"/>
    <w:semiHidden/>
    <w:rsid w:val="003A4EEF"/>
    <w:rPr>
      <w:rFonts w:ascii="Tahoma" w:hAnsi="Tahoma" w:cs="Tahoma"/>
      <w:color w:val="000000"/>
      <w:sz w:val="16"/>
      <w:szCs w:val="16"/>
    </w:rPr>
  </w:style>
  <w:style w:type="paragraph" w:customStyle="1" w:styleId="Default">
    <w:name w:val="Default"/>
    <w:rsid w:val="00C63C33"/>
    <w:pPr>
      <w:widowControl/>
      <w:autoSpaceDE w:val="0"/>
      <w:autoSpaceDN w:val="0"/>
      <w:adjustRightInd w:val="0"/>
    </w:pPr>
    <w:rPr>
      <w:rFonts w:ascii="Calibri" w:hAnsi="Calibri" w:cs="Calibri"/>
      <w:color w:val="000000"/>
      <w:lang w:bidi="ar-SA"/>
    </w:rPr>
  </w:style>
  <w:style w:type="character" w:customStyle="1" w:styleId="fontstyle01">
    <w:name w:val="fontstyle01"/>
    <w:basedOn w:val="DefaultParagraphFont"/>
    <w:rsid w:val="00EE2D4E"/>
    <w:rPr>
      <w:rFonts w:ascii="Calibri" w:hAnsi="Calibri" w:hint="default"/>
      <w:b w:val="0"/>
      <w:bCs w:val="0"/>
      <w:i w:val="0"/>
      <w:iCs w:val="0"/>
      <w:color w:val="000000"/>
      <w:sz w:val="20"/>
      <w:szCs w:val="20"/>
    </w:rPr>
  </w:style>
  <w:style w:type="paragraph" w:styleId="HTMLPreformatted">
    <w:name w:val="HTML Preformatted"/>
    <w:basedOn w:val="Normal"/>
    <w:link w:val="HTMLPreformattedChar"/>
    <w:uiPriority w:val="99"/>
    <w:semiHidden/>
    <w:unhideWhenUsed/>
    <w:rsid w:val="00EE2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hr-HR" w:eastAsia="hr-HR" w:bidi="ar-SA"/>
    </w:rPr>
  </w:style>
  <w:style w:type="character" w:customStyle="1" w:styleId="HTMLPreformattedChar">
    <w:name w:val="HTML Preformatted Char"/>
    <w:basedOn w:val="DefaultParagraphFont"/>
    <w:link w:val="HTMLPreformatted"/>
    <w:uiPriority w:val="99"/>
    <w:semiHidden/>
    <w:rsid w:val="00EE2D4E"/>
    <w:rPr>
      <w:rFonts w:ascii="Courier New" w:eastAsia="Times New Roman" w:hAnsi="Courier New" w:cs="Courier New"/>
      <w:sz w:val="20"/>
      <w:szCs w:val="20"/>
      <w:lang w:val="hr-HR" w:eastAsia="hr-HR" w:bidi="ar-SA"/>
    </w:rPr>
  </w:style>
  <w:style w:type="paragraph" w:styleId="ListParagraph">
    <w:name w:val="List Paragraph"/>
    <w:basedOn w:val="Normal"/>
    <w:uiPriority w:val="34"/>
    <w:qFormat/>
    <w:rsid w:val="00EE2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Calibri" w:eastAsia="Calibri" w:hAnsi="Calibri" w:cs="Calibri"/>
      <w:b/>
      <w:bCs/>
      <w:i w:val="0"/>
      <w:iCs w:val="0"/>
      <w:smallCaps w:val="0"/>
      <w:strike w:val="0"/>
      <w:sz w:val="32"/>
      <w:szCs w:val="32"/>
      <w:u w:val="none"/>
      <w:shd w:val="clear" w:color="auto" w:fill="auto"/>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Calibri" w:eastAsia="Calibri" w:hAnsi="Calibri" w:cs="Calibri"/>
      <w:b w:val="0"/>
      <w:bCs w:val="0"/>
      <w:i w:val="0"/>
      <w:iCs w:val="0"/>
      <w:smallCaps w:val="0"/>
      <w:strike w:val="0"/>
      <w:sz w:val="20"/>
      <w:szCs w:val="20"/>
      <w:u w:val="none"/>
      <w:shd w:val="clear" w:color="auto" w:fill="auto"/>
    </w:rPr>
  </w:style>
  <w:style w:type="character" w:customStyle="1" w:styleId="Heading3">
    <w:name w:val="Heading #3_"/>
    <w:basedOn w:val="DefaultParagraphFont"/>
    <w:link w:val="Heading30"/>
    <w:rPr>
      <w:rFonts w:ascii="Calibri" w:eastAsia="Calibri" w:hAnsi="Calibri" w:cs="Calibri"/>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Calibri" w:eastAsia="Calibri" w:hAnsi="Calibri" w:cs="Calibri"/>
      <w:b/>
      <w:bCs/>
      <w:i w:val="0"/>
      <w:iCs w:val="0"/>
      <w:smallCaps w:val="0"/>
      <w:strike w:val="0"/>
      <w:sz w:val="20"/>
      <w:szCs w:val="20"/>
      <w:u w:val="none"/>
      <w:shd w:val="clear" w:color="auto" w:fill="auto"/>
    </w:rPr>
  </w:style>
  <w:style w:type="paragraph" w:styleId="BodyText">
    <w:name w:val="Body Text"/>
    <w:basedOn w:val="Normal"/>
    <w:link w:val="BodyTextChar"/>
    <w:qFormat/>
    <w:pPr>
      <w:spacing w:after="220"/>
    </w:pPr>
    <w:rPr>
      <w:rFonts w:ascii="Calibri" w:eastAsia="Calibri" w:hAnsi="Calibri" w:cs="Calibri"/>
      <w:sz w:val="20"/>
      <w:szCs w:val="20"/>
    </w:rPr>
  </w:style>
  <w:style w:type="paragraph" w:customStyle="1" w:styleId="Heading10">
    <w:name w:val="Heading #1"/>
    <w:basedOn w:val="Normal"/>
    <w:link w:val="Heading1"/>
    <w:pPr>
      <w:jc w:val="center"/>
      <w:outlineLvl w:val="0"/>
    </w:pPr>
    <w:rPr>
      <w:rFonts w:ascii="Calibri" w:eastAsia="Calibri" w:hAnsi="Calibri" w:cs="Calibri"/>
      <w:b/>
      <w:bCs/>
      <w:sz w:val="32"/>
      <w:szCs w:val="32"/>
    </w:rPr>
  </w:style>
  <w:style w:type="paragraph" w:customStyle="1" w:styleId="Heading20">
    <w:name w:val="Heading #2"/>
    <w:basedOn w:val="Normal"/>
    <w:link w:val="Heading2"/>
    <w:pPr>
      <w:spacing w:after="600"/>
      <w:jc w:val="center"/>
      <w:outlineLvl w:val="1"/>
    </w:pPr>
    <w:rPr>
      <w:rFonts w:ascii="Calibri" w:eastAsia="Calibri" w:hAnsi="Calibri" w:cs="Calibri"/>
      <w:b/>
      <w:bCs/>
      <w:sz w:val="28"/>
      <w:szCs w:val="28"/>
    </w:rPr>
  </w:style>
  <w:style w:type="paragraph" w:customStyle="1" w:styleId="Other0">
    <w:name w:val="Other"/>
    <w:basedOn w:val="Normal"/>
    <w:link w:val="Other"/>
    <w:pPr>
      <w:spacing w:after="220"/>
    </w:pPr>
    <w:rPr>
      <w:rFonts w:ascii="Calibri" w:eastAsia="Calibri" w:hAnsi="Calibri" w:cs="Calibri"/>
      <w:sz w:val="20"/>
      <w:szCs w:val="20"/>
    </w:rPr>
  </w:style>
  <w:style w:type="paragraph" w:customStyle="1" w:styleId="Heading30">
    <w:name w:val="Heading #3"/>
    <w:basedOn w:val="Normal"/>
    <w:link w:val="Heading3"/>
    <w:pPr>
      <w:spacing w:after="130" w:line="254" w:lineRule="auto"/>
      <w:outlineLvl w:val="2"/>
    </w:pPr>
    <w:rPr>
      <w:rFonts w:ascii="Calibri" w:eastAsia="Calibri" w:hAnsi="Calibri" w:cs="Calibri"/>
      <w:b/>
      <w:bCs/>
      <w:sz w:val="20"/>
      <w:szCs w:val="20"/>
    </w:rPr>
  </w:style>
  <w:style w:type="paragraph" w:customStyle="1" w:styleId="Tablecaption0">
    <w:name w:val="Table caption"/>
    <w:basedOn w:val="Normal"/>
    <w:link w:val="Tablecaption"/>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A4EEF"/>
    <w:rPr>
      <w:rFonts w:ascii="Tahoma" w:hAnsi="Tahoma" w:cs="Tahoma"/>
      <w:sz w:val="16"/>
      <w:szCs w:val="16"/>
    </w:rPr>
  </w:style>
  <w:style w:type="character" w:customStyle="1" w:styleId="BalloonTextChar">
    <w:name w:val="Balloon Text Char"/>
    <w:basedOn w:val="DefaultParagraphFont"/>
    <w:link w:val="BalloonText"/>
    <w:uiPriority w:val="99"/>
    <w:semiHidden/>
    <w:rsid w:val="003A4EEF"/>
    <w:rPr>
      <w:rFonts w:ascii="Tahoma" w:hAnsi="Tahoma" w:cs="Tahoma"/>
      <w:color w:val="000000"/>
      <w:sz w:val="16"/>
      <w:szCs w:val="16"/>
    </w:rPr>
  </w:style>
  <w:style w:type="paragraph" w:customStyle="1" w:styleId="Default">
    <w:name w:val="Default"/>
    <w:rsid w:val="00C63C33"/>
    <w:pPr>
      <w:widowControl/>
      <w:autoSpaceDE w:val="0"/>
      <w:autoSpaceDN w:val="0"/>
      <w:adjustRightInd w:val="0"/>
    </w:pPr>
    <w:rPr>
      <w:rFonts w:ascii="Calibri" w:hAnsi="Calibri" w:cs="Calibri"/>
      <w:color w:val="000000"/>
      <w:lang w:bidi="ar-SA"/>
    </w:rPr>
  </w:style>
  <w:style w:type="character" w:customStyle="1" w:styleId="fontstyle01">
    <w:name w:val="fontstyle01"/>
    <w:basedOn w:val="DefaultParagraphFont"/>
    <w:rsid w:val="00EE2D4E"/>
    <w:rPr>
      <w:rFonts w:ascii="Calibri" w:hAnsi="Calibri" w:hint="default"/>
      <w:b w:val="0"/>
      <w:bCs w:val="0"/>
      <w:i w:val="0"/>
      <w:iCs w:val="0"/>
      <w:color w:val="000000"/>
      <w:sz w:val="20"/>
      <w:szCs w:val="20"/>
    </w:rPr>
  </w:style>
  <w:style w:type="paragraph" w:styleId="HTMLPreformatted">
    <w:name w:val="HTML Preformatted"/>
    <w:basedOn w:val="Normal"/>
    <w:link w:val="HTMLPreformattedChar"/>
    <w:uiPriority w:val="99"/>
    <w:semiHidden/>
    <w:unhideWhenUsed/>
    <w:rsid w:val="00EE2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hr-HR" w:eastAsia="hr-HR" w:bidi="ar-SA"/>
    </w:rPr>
  </w:style>
  <w:style w:type="character" w:customStyle="1" w:styleId="HTMLPreformattedChar">
    <w:name w:val="HTML Preformatted Char"/>
    <w:basedOn w:val="DefaultParagraphFont"/>
    <w:link w:val="HTMLPreformatted"/>
    <w:uiPriority w:val="99"/>
    <w:semiHidden/>
    <w:rsid w:val="00EE2D4E"/>
    <w:rPr>
      <w:rFonts w:ascii="Courier New" w:eastAsia="Times New Roman" w:hAnsi="Courier New" w:cs="Courier New"/>
      <w:sz w:val="20"/>
      <w:szCs w:val="20"/>
      <w:lang w:val="hr-HR" w:eastAsia="hr-HR" w:bidi="ar-SA"/>
    </w:rPr>
  </w:style>
  <w:style w:type="paragraph" w:styleId="ListParagraph">
    <w:name w:val="List Paragraph"/>
    <w:basedOn w:val="Normal"/>
    <w:uiPriority w:val="34"/>
    <w:qFormat/>
    <w:rsid w:val="00EE2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fri.uniri.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fri.uniri.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fri.uniri.hr/upload/Diplomski%20studij/12.07.31%20NATJECAJ%20DS%202019_2020%20odluka%20i%20natjecaj.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fri.uniri.hr" TargetMode="External"/><Relationship Id="rId5" Type="http://schemas.openxmlformats.org/officeDocument/2006/relationships/webSettings" Target="webSettings.xml"/><Relationship Id="rId15" Type="http://schemas.openxmlformats.org/officeDocument/2006/relationships/hyperlink" Target="https://www.efri.uniri.hr/upload/Diplomski%20studij/12.07.31%20NATJECAJ%20DS%202019_2020%20odluka%20i%20natjecaj.pdf" TargetMode="External"/><Relationship Id="rId10" Type="http://schemas.openxmlformats.org/officeDocument/2006/relationships/hyperlink" Target="mailto:zmacan@ffri.hr" TargetMode="External"/><Relationship Id="rId4" Type="http://schemas.openxmlformats.org/officeDocument/2006/relationships/settings" Target="settings.xml"/><Relationship Id="rId9" Type="http://schemas.openxmlformats.org/officeDocument/2006/relationships/hyperlink" Target="https://www.ncvvo.hr/?s=ini+jezik" TargetMode="External"/><Relationship Id="rId14" Type="http://schemas.openxmlformats.org/officeDocument/2006/relationships/hyperlink" Target="mailto:marko.donadic@ef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Ježić</dc:creator>
  <cp:lastModifiedBy>Kornelija</cp:lastModifiedBy>
  <cp:revision>8</cp:revision>
  <dcterms:created xsi:type="dcterms:W3CDTF">2020-07-09T10:34:00Z</dcterms:created>
  <dcterms:modified xsi:type="dcterms:W3CDTF">2020-07-13T06:22:00Z</dcterms:modified>
</cp:coreProperties>
</file>